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A5" w:rsidRDefault="00E00875" w:rsidP="00140610">
      <w:pPr>
        <w:spacing w:after="44" w:line="259" w:lineRule="auto"/>
        <w:ind w:right="0"/>
        <w:jc w:val="center"/>
      </w:pPr>
      <w:r>
        <w:rPr>
          <w:noProof/>
        </w:rPr>
        <w:drawing>
          <wp:anchor distT="0" distB="0" distL="114300" distR="114300" simplePos="0" relativeHeight="251659264" behindDoc="0" locked="0" layoutInCell="1" allowOverlap="1">
            <wp:simplePos x="0" y="0"/>
            <wp:positionH relativeFrom="margin">
              <wp:align>center</wp:align>
            </wp:positionH>
            <wp:positionV relativeFrom="page">
              <wp:posOffset>158853</wp:posOffset>
            </wp:positionV>
            <wp:extent cx="1600200" cy="1123950"/>
            <wp:effectExtent l="0" t="0" r="0" b="0"/>
            <wp:wrapThrough wrapText="bothSides">
              <wp:wrapPolygon edited="0">
                <wp:start x="0" y="0"/>
                <wp:lineTo x="0" y="21234"/>
                <wp:lineTo x="21343" y="21234"/>
                <wp:lineTo x="21343" y="0"/>
                <wp:lineTo x="0" y="0"/>
              </wp:wrapPolygon>
            </wp:wrapThrough>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a:extLst>
                        <a:ext uri="{28A0092B-C50C-407E-A947-70E740481C1C}">
                          <a14:useLocalDpi xmlns:a14="http://schemas.microsoft.com/office/drawing/2010/main" val="0"/>
                        </a:ext>
                      </a:extLst>
                    </a:blip>
                    <a:stretch>
                      <a:fillRect/>
                    </a:stretch>
                  </pic:blipFill>
                  <pic:spPr>
                    <a:xfrm>
                      <a:off x="0" y="0"/>
                      <a:ext cx="1600200" cy="1123950"/>
                    </a:xfrm>
                    <a:prstGeom prst="rect">
                      <a:avLst/>
                    </a:prstGeom>
                  </pic:spPr>
                </pic:pic>
              </a:graphicData>
            </a:graphic>
          </wp:anchor>
        </w:drawing>
      </w:r>
    </w:p>
    <w:p w:rsidR="00B23805" w:rsidRDefault="00B23805">
      <w:pPr>
        <w:spacing w:after="0" w:line="259" w:lineRule="auto"/>
        <w:ind w:left="10" w:right="64"/>
        <w:jc w:val="center"/>
        <w:rPr>
          <w:b/>
        </w:rPr>
      </w:pPr>
    </w:p>
    <w:p w:rsidR="00B23805" w:rsidRDefault="00B23805">
      <w:pPr>
        <w:spacing w:after="0" w:line="259" w:lineRule="auto"/>
        <w:ind w:left="10" w:right="64"/>
        <w:jc w:val="center"/>
        <w:rPr>
          <w:b/>
        </w:rPr>
      </w:pPr>
    </w:p>
    <w:p w:rsidR="00B23805" w:rsidRDefault="00B23805">
      <w:pPr>
        <w:spacing w:after="0" w:line="259" w:lineRule="auto"/>
        <w:ind w:left="10" w:right="64"/>
        <w:jc w:val="center"/>
        <w:rPr>
          <w:b/>
        </w:rPr>
      </w:pPr>
    </w:p>
    <w:p w:rsidR="00D170A5" w:rsidRDefault="00E00875">
      <w:pPr>
        <w:spacing w:after="0" w:line="259" w:lineRule="auto"/>
        <w:ind w:left="10" w:right="64"/>
        <w:jc w:val="center"/>
      </w:pPr>
      <w:r>
        <w:rPr>
          <w:b/>
        </w:rPr>
        <w:t xml:space="preserve">REQUEST FOR APPLICATIONS: </w:t>
      </w:r>
    </w:p>
    <w:p w:rsidR="00D170A5" w:rsidRDefault="00E00875">
      <w:pPr>
        <w:pStyle w:val="Heading1"/>
        <w:ind w:right="61"/>
      </w:pPr>
      <w:r>
        <w:t xml:space="preserve">Great Plains IDeA-CTR </w:t>
      </w:r>
      <w:r w:rsidR="001A5178">
        <w:t xml:space="preserve">Community-Academic Partnership </w:t>
      </w:r>
      <w:r w:rsidR="00140610">
        <w:t>Program</w:t>
      </w:r>
      <w:r>
        <w:t xml:space="preserve"> </w:t>
      </w:r>
    </w:p>
    <w:p w:rsidR="00D170A5" w:rsidRDefault="00E00875">
      <w:pPr>
        <w:spacing w:after="0" w:line="259" w:lineRule="auto"/>
        <w:ind w:left="1" w:right="0" w:firstLine="0"/>
        <w:jc w:val="center"/>
        <w:rPr>
          <w:b/>
        </w:rPr>
      </w:pPr>
      <w:r>
        <w:rPr>
          <w:b/>
        </w:rPr>
        <w:t xml:space="preserve"> </w:t>
      </w:r>
    </w:p>
    <w:p w:rsidR="003611EA" w:rsidRPr="003611EA" w:rsidRDefault="003611EA" w:rsidP="003611EA">
      <w:pPr>
        <w:spacing w:after="0" w:line="259" w:lineRule="auto"/>
        <w:ind w:left="-1" w:right="0"/>
        <w:jc w:val="center"/>
        <w:rPr>
          <w:sz w:val="24"/>
          <w:szCs w:val="24"/>
        </w:rPr>
      </w:pPr>
      <w:r w:rsidRPr="003611EA">
        <w:rPr>
          <w:b/>
          <w:sz w:val="24"/>
          <w:szCs w:val="24"/>
        </w:rPr>
        <w:t xml:space="preserve">Application Deadline: </w:t>
      </w:r>
      <w:r w:rsidRPr="00B13AFB">
        <w:rPr>
          <w:b/>
          <w:color w:val="C00000"/>
          <w:sz w:val="24"/>
          <w:szCs w:val="24"/>
        </w:rPr>
        <w:t xml:space="preserve"> January 31, 2018</w:t>
      </w:r>
      <w:r w:rsidR="0019546E" w:rsidRPr="00B13AFB">
        <w:rPr>
          <w:b/>
          <w:color w:val="C00000"/>
          <w:sz w:val="24"/>
          <w:szCs w:val="24"/>
        </w:rPr>
        <w:t xml:space="preserve">  |  5:00 PM</w:t>
      </w:r>
    </w:p>
    <w:p w:rsidR="003611EA" w:rsidRDefault="003611EA">
      <w:pPr>
        <w:spacing w:after="0" w:line="259" w:lineRule="auto"/>
        <w:ind w:left="1" w:right="0" w:firstLine="0"/>
        <w:jc w:val="center"/>
      </w:pPr>
    </w:p>
    <w:p w:rsidR="00D170A5" w:rsidRPr="00196191" w:rsidRDefault="003B47D4">
      <w:pPr>
        <w:spacing w:after="0" w:line="259" w:lineRule="auto"/>
        <w:ind w:left="0" w:right="60" w:firstLine="0"/>
        <w:jc w:val="center"/>
      </w:pPr>
      <w:hyperlink r:id="rId8">
        <w:r w:rsidR="00E00875" w:rsidRPr="00196191">
          <w:rPr>
            <w:color w:val="0000FF"/>
            <w:u w:val="single" w:color="0000FF"/>
          </w:rPr>
          <w:t>https:/</w:t>
        </w:r>
        <w:bookmarkStart w:id="0" w:name="_GoBack"/>
        <w:bookmarkEnd w:id="0"/>
        <w:r w:rsidR="00E00875" w:rsidRPr="00196191">
          <w:rPr>
            <w:color w:val="0000FF"/>
            <w:u w:val="single" w:color="0000FF"/>
          </w:rPr>
          <w:t>/gpctr.unmc.edu</w:t>
        </w:r>
      </w:hyperlink>
      <w:hyperlink r:id="rId9">
        <w:r w:rsidR="00E00875" w:rsidRPr="00196191">
          <w:rPr>
            <w:color w:val="C00000"/>
          </w:rPr>
          <w:t xml:space="preserve"> </w:t>
        </w:r>
      </w:hyperlink>
      <w:r w:rsidR="00E00875" w:rsidRPr="00196191">
        <w:rPr>
          <w:color w:val="C00000"/>
        </w:rPr>
        <w:t xml:space="preserve">    </w:t>
      </w:r>
    </w:p>
    <w:p w:rsidR="00D170A5" w:rsidRDefault="00E00875">
      <w:pPr>
        <w:spacing w:after="141" w:line="259" w:lineRule="auto"/>
        <w:ind w:left="1" w:right="0" w:firstLine="0"/>
      </w:pPr>
      <w:r>
        <w:t xml:space="preserve"> </w:t>
      </w:r>
    </w:p>
    <w:p w:rsidR="00D170A5" w:rsidRDefault="00E00875" w:rsidP="00165C57">
      <w:pPr>
        <w:ind w:left="-1" w:right="54"/>
      </w:pPr>
      <w:r>
        <w:t xml:space="preserve">The Great Plains IDeA-CTR </w:t>
      </w:r>
      <w:r w:rsidR="00140610">
        <w:t xml:space="preserve">Network </w:t>
      </w:r>
      <w:r>
        <w:t xml:space="preserve">(GP IDeA-CTR) is a collaboration of 8 institutions which include: Boys Town National Research Hospital, North Dakota State University, University of Nebraska Kearney, University of Nebraska Lincoln, University of Nebraska Medical Center, University of Nebraska Omaha, University of North Dakota, and University of South Dakota.  </w:t>
      </w:r>
    </w:p>
    <w:p w:rsidR="00D170A5" w:rsidRDefault="00E00875" w:rsidP="00165C57">
      <w:pPr>
        <w:spacing w:after="72" w:line="259" w:lineRule="auto"/>
        <w:ind w:left="1" w:right="0" w:firstLine="0"/>
      </w:pPr>
      <w:r>
        <w:rPr>
          <w:sz w:val="13"/>
        </w:rPr>
        <w:t xml:space="preserve"> </w:t>
      </w:r>
    </w:p>
    <w:p w:rsidR="0093571D" w:rsidRDefault="001A5178" w:rsidP="00165C57">
      <w:pPr>
        <w:spacing w:after="2" w:line="242" w:lineRule="auto"/>
        <w:ind w:left="-4" w:right="44"/>
      </w:pPr>
      <w:r>
        <w:t xml:space="preserve">The goal of this </w:t>
      </w:r>
      <w:r w:rsidR="00140610">
        <w:t>funding</w:t>
      </w:r>
      <w:r>
        <w:t xml:space="preserve"> </w:t>
      </w:r>
      <w:r w:rsidR="00E00875">
        <w:t xml:space="preserve">program is to </w:t>
      </w:r>
      <w:r w:rsidR="00FB6F13">
        <w:t>achieve community impact and advance science through partnerships between community organizations and Clinical and Translational Research (CTR) investigators</w:t>
      </w:r>
      <w:r w:rsidR="00E00875">
        <w:t xml:space="preserve">. </w:t>
      </w:r>
      <w:r w:rsidR="001C0C52">
        <w:t>Proposals that are responsive to this call will include community partners as active collaborators across the span of idea generation, proposal development, study implementation, analysis and interpretation of the results, and development of future directions—for both research and community impact. This will produce research that is relevant to communities, resolves local needs, and is generalizable to other community or clinical settings.</w:t>
      </w:r>
      <w:r w:rsidR="00C30B2F">
        <w:t xml:space="preserve"> </w:t>
      </w:r>
    </w:p>
    <w:p w:rsidR="0093571D" w:rsidRDefault="0093571D" w:rsidP="00165C57">
      <w:pPr>
        <w:spacing w:after="2" w:line="242" w:lineRule="auto"/>
        <w:ind w:left="-4" w:right="44"/>
      </w:pPr>
    </w:p>
    <w:p w:rsidR="00B96CFD" w:rsidRDefault="0093571D" w:rsidP="00165C57">
      <w:pPr>
        <w:spacing w:after="2" w:line="242" w:lineRule="auto"/>
        <w:ind w:left="-4" w:right="44"/>
      </w:pPr>
      <w:r>
        <w:t xml:space="preserve">Our intent with the Community-Academic Partnership </w:t>
      </w:r>
      <w:r w:rsidR="002F447A">
        <w:t>(CAP) Program</w:t>
      </w:r>
      <w:r>
        <w:t xml:space="preserve"> is to improve heal</w:t>
      </w:r>
      <w:r w:rsidR="001C0C52">
        <w:t xml:space="preserve">th and wellness in communities through the </w:t>
      </w:r>
      <w:r w:rsidR="002F447A">
        <w:t xml:space="preserve">development </w:t>
      </w:r>
      <w:r>
        <w:t xml:space="preserve">or testing of programs and interventions that are impactful and sustainable in a community setting. </w:t>
      </w:r>
      <w:r w:rsidR="00B96CFD">
        <w:t>There are two funding awards available through this program:</w:t>
      </w:r>
      <w:r w:rsidR="002F447A">
        <w:t xml:space="preserve"> </w:t>
      </w:r>
    </w:p>
    <w:p w:rsidR="006E019A" w:rsidRDefault="006E019A" w:rsidP="00165C57">
      <w:pPr>
        <w:spacing w:after="2" w:line="242" w:lineRule="auto"/>
        <w:ind w:left="-4" w:right="44"/>
      </w:pPr>
    </w:p>
    <w:p w:rsidR="00D170A5" w:rsidRDefault="006E019A" w:rsidP="000F0E30">
      <w:pPr>
        <w:pStyle w:val="ListParagraph"/>
        <w:numPr>
          <w:ilvl w:val="0"/>
          <w:numId w:val="10"/>
        </w:numPr>
        <w:spacing w:after="2" w:line="242" w:lineRule="auto"/>
        <w:ind w:left="360" w:right="44"/>
      </w:pPr>
      <w:r w:rsidRPr="0093571D">
        <w:rPr>
          <w:u w:val="single"/>
        </w:rPr>
        <w:t>Community-engagement</w:t>
      </w:r>
      <w:r w:rsidR="00B96CFD" w:rsidRPr="0093571D">
        <w:rPr>
          <w:u w:val="single"/>
        </w:rPr>
        <w:t xml:space="preserve"> </w:t>
      </w:r>
      <w:r w:rsidR="00FB6F13">
        <w:rPr>
          <w:u w:val="single"/>
        </w:rPr>
        <w:t xml:space="preserve">Project </w:t>
      </w:r>
      <w:r w:rsidR="00B96CFD" w:rsidRPr="0093571D">
        <w:rPr>
          <w:u w:val="single"/>
        </w:rPr>
        <w:t>Award</w:t>
      </w:r>
      <w:r w:rsidR="00B96CFD">
        <w:t>: a total of $</w:t>
      </w:r>
      <w:r w:rsidR="00B663C3">
        <w:t>50</w:t>
      </w:r>
      <w:r w:rsidR="00B96CFD">
        <w:t>,000</w:t>
      </w:r>
      <w:r w:rsidR="00C76111">
        <w:t xml:space="preserve"> is available for one or two award(s)</w:t>
      </w:r>
      <w:r w:rsidR="00B96CFD" w:rsidRPr="00B96CFD">
        <w:t xml:space="preserve">. </w:t>
      </w:r>
      <w:r w:rsidR="00140610">
        <w:t xml:space="preserve">The applications must detail an existing </w:t>
      </w:r>
      <w:r w:rsidR="00B96CFD">
        <w:t xml:space="preserve">or </w:t>
      </w:r>
      <w:r w:rsidR="001C0C52">
        <w:t>forming</w:t>
      </w:r>
      <w:r w:rsidR="00B96CFD">
        <w:t xml:space="preserve"> community-academic partnership and how the funds will be used to </w:t>
      </w:r>
      <w:r w:rsidR="001C0C52">
        <w:t>improve</w:t>
      </w:r>
      <w:r w:rsidR="00B96CFD">
        <w:t xml:space="preserve"> community health. </w:t>
      </w:r>
      <w:r w:rsidR="002F447A">
        <w:t xml:space="preserve">The intent of </w:t>
      </w:r>
      <w:r w:rsidR="00C76111">
        <w:t>this award is the generation of preliminary data for feasibility and acceptability trials</w:t>
      </w:r>
      <w:r w:rsidR="001C0C52">
        <w:t>.</w:t>
      </w:r>
    </w:p>
    <w:p w:rsidR="00E00875" w:rsidRDefault="00E00875" w:rsidP="000F0E30">
      <w:pPr>
        <w:pStyle w:val="ListParagraph"/>
        <w:spacing w:after="2" w:line="242" w:lineRule="auto"/>
        <w:ind w:left="360" w:right="44" w:firstLine="0"/>
      </w:pPr>
    </w:p>
    <w:p w:rsidR="00B96CFD" w:rsidRDefault="00FB6F13" w:rsidP="000F0E30">
      <w:pPr>
        <w:pStyle w:val="ListParagraph"/>
        <w:numPr>
          <w:ilvl w:val="0"/>
          <w:numId w:val="10"/>
        </w:numPr>
        <w:spacing w:after="2" w:line="242" w:lineRule="auto"/>
        <w:ind w:left="360" w:right="44"/>
      </w:pPr>
      <w:r>
        <w:rPr>
          <w:u w:val="single"/>
        </w:rPr>
        <w:t xml:space="preserve">Community-engagement Planning </w:t>
      </w:r>
      <w:r w:rsidR="006E019A" w:rsidRPr="0093571D">
        <w:rPr>
          <w:u w:val="single"/>
        </w:rPr>
        <w:t>Award</w:t>
      </w:r>
      <w:r w:rsidR="006E019A">
        <w:t xml:space="preserve">: </w:t>
      </w:r>
      <w:r w:rsidR="00FA03B1">
        <w:t xml:space="preserve">a </w:t>
      </w:r>
      <w:r w:rsidR="002F447A">
        <w:t>total of $</w:t>
      </w:r>
      <w:r w:rsidR="00B663C3">
        <w:t>15,000</w:t>
      </w:r>
      <w:r w:rsidR="002F447A">
        <w:t xml:space="preserve"> </w:t>
      </w:r>
      <w:r w:rsidR="00FA03B1">
        <w:t xml:space="preserve">is available </w:t>
      </w:r>
      <w:r w:rsidR="002F447A">
        <w:t xml:space="preserve">for </w:t>
      </w:r>
      <w:r w:rsidR="00C76111">
        <w:t>small awards averaging approximately $2,500</w:t>
      </w:r>
      <w:r w:rsidR="006E019A">
        <w:t>. The purpose is to provide</w:t>
      </w:r>
      <w:r w:rsidR="006E019A" w:rsidRPr="006E019A">
        <w:t xml:space="preserve"> seed funding </w:t>
      </w:r>
      <w:r w:rsidR="00FA03B1">
        <w:t>for</w:t>
      </w:r>
      <w:r w:rsidR="006E019A" w:rsidRPr="006E019A">
        <w:t xml:space="preserve"> investigators working to </w:t>
      </w:r>
      <w:r w:rsidR="006E019A">
        <w:t xml:space="preserve">(1) </w:t>
      </w:r>
      <w:r w:rsidR="006E019A" w:rsidRPr="006E019A">
        <w:t xml:space="preserve">develop </w:t>
      </w:r>
      <w:r w:rsidR="00C76111">
        <w:t xml:space="preserve">or engage </w:t>
      </w:r>
      <w:r w:rsidR="006E019A" w:rsidRPr="006E019A">
        <w:t xml:space="preserve">community advisory boards </w:t>
      </w:r>
      <w:r w:rsidR="006E019A">
        <w:t>fo</w:t>
      </w:r>
      <w:r w:rsidR="002F447A">
        <w:t>r project design</w:t>
      </w:r>
      <w:r w:rsidR="006E019A">
        <w:t xml:space="preserve"> or planning purposes </w:t>
      </w:r>
      <w:r w:rsidR="006E019A" w:rsidRPr="006E019A">
        <w:t xml:space="preserve">or </w:t>
      </w:r>
      <w:r w:rsidR="006E019A">
        <w:t xml:space="preserve">(2) </w:t>
      </w:r>
      <w:r w:rsidR="006E019A" w:rsidRPr="006E019A">
        <w:t xml:space="preserve">engage Practice Based Research Networks to identify local priorities and begin project planning. </w:t>
      </w:r>
      <w:r w:rsidR="006E019A">
        <w:t xml:space="preserve">The proposal needs to explicitly lay out how funds contribute to the </w:t>
      </w:r>
      <w:r w:rsidR="00165C57">
        <w:t>development of the board</w:t>
      </w:r>
      <w:r w:rsidR="002F447A">
        <w:t xml:space="preserve"> </w:t>
      </w:r>
      <w:r w:rsidR="00140610">
        <w:t>or</w:t>
      </w:r>
      <w:r w:rsidR="002F447A">
        <w:t xml:space="preserve"> the project</w:t>
      </w:r>
      <w:r w:rsidR="006E019A">
        <w:t xml:space="preserve">. </w:t>
      </w:r>
    </w:p>
    <w:p w:rsidR="00D170A5" w:rsidRDefault="00E00875" w:rsidP="00165C57">
      <w:pPr>
        <w:spacing w:after="72" w:line="259" w:lineRule="auto"/>
        <w:ind w:left="1" w:right="0" w:firstLine="0"/>
      </w:pPr>
      <w:r>
        <w:rPr>
          <w:sz w:val="13"/>
        </w:rPr>
        <w:t xml:space="preserve"> </w:t>
      </w:r>
    </w:p>
    <w:p w:rsidR="00D170A5" w:rsidRDefault="00E00875" w:rsidP="00165C57">
      <w:pPr>
        <w:ind w:left="-1" w:right="54"/>
      </w:pPr>
      <w:r>
        <w:rPr>
          <w:b/>
        </w:rPr>
        <w:t>Applicable Research:</w:t>
      </w:r>
      <w:r>
        <w:t xml:space="preserve"> Proposed projects must be translational research</w:t>
      </w:r>
      <w:r w:rsidR="006E019A">
        <w:t xml:space="preserve"> and considered </w:t>
      </w:r>
      <w:r w:rsidR="00FB6F13">
        <w:t xml:space="preserve">T2 to </w:t>
      </w:r>
      <w:r w:rsidR="006E019A">
        <w:t>T4 in nature</w:t>
      </w:r>
      <w:r>
        <w:t xml:space="preserve">. While there are many definitions of </w:t>
      </w:r>
      <w:r w:rsidR="0063344D">
        <w:t>translational research</w:t>
      </w:r>
      <w:r>
        <w:t xml:space="preserve">, the GP IDeA-CTR uses the </w:t>
      </w:r>
      <w:r w:rsidR="00EB7050">
        <w:t>following definition</w:t>
      </w:r>
      <w:r>
        <w:t>:</w:t>
      </w:r>
    </w:p>
    <w:p w:rsidR="00D170A5" w:rsidRDefault="00E00875" w:rsidP="00165C57">
      <w:pPr>
        <w:spacing w:after="72" w:line="259" w:lineRule="auto"/>
        <w:ind w:left="1" w:right="0" w:firstLine="0"/>
      </w:pPr>
      <w:r>
        <w:rPr>
          <w:sz w:val="13"/>
        </w:rPr>
        <w:t xml:space="preserve"> </w:t>
      </w:r>
    </w:p>
    <w:p w:rsidR="00D170A5" w:rsidRDefault="00E00875" w:rsidP="00165C57">
      <w:pPr>
        <w:ind w:left="-1" w:right="54"/>
      </w:pPr>
      <w:r w:rsidRPr="0063344D">
        <w:rPr>
          <w:u w:val="single"/>
        </w:rPr>
        <w:t>Translational research</w:t>
      </w:r>
      <w:r>
        <w:t xml:space="preserve"> is about moving applications for </w:t>
      </w:r>
      <w:r>
        <w:rPr>
          <w:u w:val="single" w:color="000000"/>
        </w:rPr>
        <w:t>treatments</w:t>
      </w:r>
      <w:r>
        <w:t xml:space="preserve">, </w:t>
      </w:r>
      <w:r>
        <w:rPr>
          <w:u w:val="single" w:color="000000"/>
        </w:rPr>
        <w:t>diagnostics</w:t>
      </w:r>
      <w:r>
        <w:t xml:space="preserve"> and </w:t>
      </w:r>
      <w:r>
        <w:rPr>
          <w:u w:val="single" w:color="000000"/>
        </w:rPr>
        <w:t>prevention</w:t>
      </w:r>
      <w:r>
        <w:t xml:space="preserve"> from pre-clinical work to population level impact. Applicants are required to identify the level of translational research proposed using the T1 to T4 descriptions below.</w:t>
      </w:r>
      <w:r>
        <w:rPr>
          <w:color w:val="FF0000"/>
        </w:rPr>
        <w:t xml:space="preserve"> </w:t>
      </w:r>
      <w:r>
        <w:t xml:space="preserve"> </w:t>
      </w:r>
    </w:p>
    <w:p w:rsidR="00D170A5" w:rsidRDefault="00E00875" w:rsidP="00165C57">
      <w:pPr>
        <w:ind w:left="-1" w:right="54"/>
      </w:pPr>
      <w:r>
        <w:rPr>
          <w:i/>
        </w:rPr>
        <w:t>T1   Translation to humans</w:t>
      </w:r>
      <w:r>
        <w:t xml:space="preserve"> Seeks to move fundamental discovery into health application. </w:t>
      </w:r>
    </w:p>
    <w:p w:rsidR="00D170A5" w:rsidRDefault="00E00875" w:rsidP="00165C57">
      <w:pPr>
        <w:ind w:left="-1" w:right="54"/>
      </w:pPr>
      <w:r>
        <w:rPr>
          <w:i/>
        </w:rPr>
        <w:t>T2   Translation to patients</w:t>
      </w:r>
      <w:r>
        <w:t xml:space="preserve"> Develops health applications with implications for evidence-based practice.  </w:t>
      </w:r>
    </w:p>
    <w:p w:rsidR="00D170A5" w:rsidRDefault="00E00875" w:rsidP="00165C57">
      <w:pPr>
        <w:ind w:left="-1" w:right="54"/>
      </w:pPr>
      <w:r>
        <w:rPr>
          <w:i/>
        </w:rPr>
        <w:t>T3   Translation to practice</w:t>
      </w:r>
      <w:r>
        <w:t xml:space="preserve"> Investigates the movement of evidence-based guidelines to health practices. </w:t>
      </w:r>
    </w:p>
    <w:p w:rsidR="00D170A5" w:rsidRDefault="00E00875" w:rsidP="00165C57">
      <w:pPr>
        <w:ind w:left="440" w:right="54" w:hanging="451"/>
      </w:pPr>
      <w:r>
        <w:rPr>
          <w:i/>
        </w:rPr>
        <w:lastRenderedPageBreak/>
        <w:t>T4   Translation to communities</w:t>
      </w:r>
      <w:r>
        <w:t xml:space="preserve"> Investigates the impact of evidence-practice and policies to population health impact/investigators providing communities with the optimal intervention. </w:t>
      </w:r>
    </w:p>
    <w:p w:rsidR="00D170A5" w:rsidRDefault="00E00875" w:rsidP="00165C57">
      <w:pPr>
        <w:spacing w:after="74" w:line="259" w:lineRule="auto"/>
        <w:ind w:left="1441" w:right="0" w:firstLine="0"/>
      </w:pPr>
      <w:r>
        <w:rPr>
          <w:sz w:val="13"/>
        </w:rPr>
        <w:t xml:space="preserve"> </w:t>
      </w:r>
    </w:p>
    <w:p w:rsidR="00D170A5" w:rsidRDefault="00E00875" w:rsidP="00165C57">
      <w:pPr>
        <w:ind w:left="-1" w:right="54"/>
      </w:pPr>
      <w:r>
        <w:t>For additional questions regarding whether your research satisfies this definition, please contact your local institutional program coordinator (see ‘</w:t>
      </w:r>
      <w:r w:rsidR="00EB7050">
        <w:t>Eligible</w:t>
      </w:r>
      <w:r>
        <w:t xml:space="preserve"> Institutions and Contacts’ below). Alternatively, if you have questions about whether your research applies, you may also contact Dr. Paul Estabrooks at </w:t>
      </w:r>
      <w:hyperlink r:id="rId10" w:history="1">
        <w:r w:rsidR="00E743A3" w:rsidRPr="003E4D89">
          <w:rPr>
            <w:rStyle w:val="Hyperlink"/>
            <w:u w:color="0000FF"/>
          </w:rPr>
          <w:t>paul.estabrooks@unmc.edu</w:t>
        </w:r>
      </w:hyperlink>
      <w:r w:rsidR="00E743A3">
        <w:t xml:space="preserve"> or Sean Navarrette at </w:t>
      </w:r>
      <w:hyperlink r:id="rId11" w:history="1">
        <w:r w:rsidR="00E743A3" w:rsidRPr="003E4D89">
          <w:rPr>
            <w:rStyle w:val="Hyperlink"/>
          </w:rPr>
          <w:t>sean.navarrette@unmc.edu</w:t>
        </w:r>
      </w:hyperlink>
      <w:r w:rsidR="00E743A3">
        <w:t>.</w:t>
      </w:r>
      <w:r w:rsidR="00E743A3">
        <w:tab/>
      </w:r>
    </w:p>
    <w:p w:rsidR="00D170A5" w:rsidRDefault="00E00875" w:rsidP="00165C57">
      <w:pPr>
        <w:spacing w:after="0" w:line="259" w:lineRule="auto"/>
        <w:ind w:left="1" w:right="0" w:firstLine="0"/>
      </w:pPr>
      <w:r>
        <w:t xml:space="preserve"> </w:t>
      </w:r>
    </w:p>
    <w:p w:rsidR="00D170A5" w:rsidRDefault="00FA78DA" w:rsidP="00165C57">
      <w:pPr>
        <w:spacing w:after="49"/>
        <w:ind w:left="-1" w:right="54"/>
      </w:pPr>
      <w:r>
        <w:rPr>
          <w:b/>
        </w:rPr>
        <w:t>Health</w:t>
      </w:r>
      <w:r w:rsidR="00E00875">
        <w:rPr>
          <w:b/>
        </w:rPr>
        <w:t xml:space="preserve"> Priorities:</w:t>
      </w:r>
      <w:r w:rsidR="00E00875">
        <w:t xml:space="preserve"> </w:t>
      </w:r>
      <w:r w:rsidR="00C30B2F">
        <w:t xml:space="preserve">Applicants must propose work conducted within a partnership between academic researchers and community organizations or individuals. </w:t>
      </w:r>
      <w:r w:rsidR="0063344D">
        <w:t xml:space="preserve">Special attention will be given to projects that address regional </w:t>
      </w:r>
      <w:r w:rsidR="00E00875">
        <w:t xml:space="preserve">priorities </w:t>
      </w:r>
      <w:r>
        <w:t xml:space="preserve">as </w:t>
      </w:r>
      <w:r w:rsidR="0063344D">
        <w:t>defined</w:t>
      </w:r>
      <w:r w:rsidR="00E00875">
        <w:t xml:space="preserve"> by the GP IDeA-CTR Community Advisory Board. Priority areas are: </w:t>
      </w:r>
    </w:p>
    <w:p w:rsidR="00D170A5" w:rsidRDefault="00E00875" w:rsidP="00165C57">
      <w:pPr>
        <w:spacing w:after="0" w:line="259" w:lineRule="auto"/>
        <w:ind w:left="1" w:right="0" w:firstLine="0"/>
      </w:pPr>
      <w:r>
        <w:t xml:space="preserve"> </w:t>
      </w:r>
    </w:p>
    <w:p w:rsidR="00D170A5" w:rsidRDefault="00E00875" w:rsidP="00165C57">
      <w:pPr>
        <w:numPr>
          <w:ilvl w:val="0"/>
          <w:numId w:val="1"/>
        </w:numPr>
        <w:ind w:right="54" w:hanging="360"/>
      </w:pPr>
      <w:r>
        <w:t>Behavioral health including, mental health, substance abuse (e.g., opioids and alcohol), and vi</w:t>
      </w:r>
      <w:r w:rsidR="00EB7050">
        <w:t>olence as a public health issue</w:t>
      </w:r>
      <w:r w:rsidR="00FA78DA">
        <w:t xml:space="preserve"> </w:t>
      </w:r>
    </w:p>
    <w:p w:rsidR="00D170A5" w:rsidRDefault="00E00875" w:rsidP="00165C57">
      <w:pPr>
        <w:numPr>
          <w:ilvl w:val="0"/>
          <w:numId w:val="1"/>
        </w:numPr>
        <w:ind w:right="54" w:hanging="360"/>
      </w:pPr>
      <w:r>
        <w:t>O</w:t>
      </w:r>
      <w:r w:rsidR="00EB7050">
        <w:t>besity treatment and prevention</w:t>
      </w:r>
      <w:r w:rsidR="00FA78DA">
        <w:t xml:space="preserve"> </w:t>
      </w:r>
    </w:p>
    <w:p w:rsidR="00D170A5" w:rsidRDefault="00EB7050" w:rsidP="00165C57">
      <w:pPr>
        <w:numPr>
          <w:ilvl w:val="0"/>
          <w:numId w:val="1"/>
        </w:numPr>
        <w:ind w:right="54" w:hanging="360"/>
      </w:pPr>
      <w:r>
        <w:t>Injury prevention</w:t>
      </w:r>
      <w:r w:rsidR="00FA78DA">
        <w:t xml:space="preserve"> </w:t>
      </w:r>
    </w:p>
    <w:p w:rsidR="00D170A5" w:rsidRDefault="00E00875" w:rsidP="00165C57">
      <w:pPr>
        <w:numPr>
          <w:ilvl w:val="0"/>
          <w:numId w:val="1"/>
        </w:numPr>
        <w:ind w:right="54" w:hanging="360"/>
      </w:pPr>
      <w:r>
        <w:t>Technologies and models to improve health access including the evaluation of new or existing tools (e.g., telehealth) wi</w:t>
      </w:r>
      <w:r w:rsidR="00FA78DA">
        <w:t xml:space="preserve">th a focus on rural populations </w:t>
      </w:r>
      <w:r>
        <w:t xml:space="preserve"> </w:t>
      </w:r>
    </w:p>
    <w:p w:rsidR="00D170A5" w:rsidRDefault="00E00875" w:rsidP="00165C57">
      <w:pPr>
        <w:numPr>
          <w:ilvl w:val="0"/>
          <w:numId w:val="1"/>
        </w:numPr>
        <w:ind w:right="54" w:hanging="360"/>
      </w:pPr>
      <w:r>
        <w:t>Connecting clinical care and community services (e.g., sc</w:t>
      </w:r>
      <w:r w:rsidR="00FA78DA">
        <w:t xml:space="preserve">hools, food banks, YMCAs, etc.) </w:t>
      </w:r>
    </w:p>
    <w:p w:rsidR="00D170A5" w:rsidRDefault="00E00875" w:rsidP="00951EDC">
      <w:pPr>
        <w:numPr>
          <w:ilvl w:val="0"/>
          <w:numId w:val="1"/>
        </w:numPr>
        <w:ind w:right="54" w:hanging="360"/>
      </w:pPr>
      <w:r>
        <w:t>Addressing health disparities based on social determinants, race, ethnicity, and geography</w:t>
      </w:r>
      <w:r w:rsidR="00FA78DA">
        <w:rPr>
          <w:sz w:val="24"/>
        </w:rPr>
        <w:t xml:space="preserve"> </w:t>
      </w:r>
    </w:p>
    <w:p w:rsidR="00D170A5" w:rsidRDefault="00E00875" w:rsidP="00165C57">
      <w:pPr>
        <w:spacing w:after="0" w:line="259" w:lineRule="auto"/>
        <w:ind w:left="541" w:right="0" w:firstLine="0"/>
      </w:pPr>
      <w:r>
        <w:rPr>
          <w:sz w:val="24"/>
        </w:rPr>
        <w:t xml:space="preserve"> </w:t>
      </w:r>
    </w:p>
    <w:p w:rsidR="00D170A5" w:rsidRDefault="00E00875" w:rsidP="00165C57">
      <w:pPr>
        <w:ind w:left="-1" w:right="54"/>
      </w:pPr>
      <w:r>
        <w:t xml:space="preserve">In addition, projects that </w:t>
      </w:r>
      <w:r w:rsidR="00951EDC">
        <w:t>address</w:t>
      </w:r>
      <w:r>
        <w:t xml:space="preserve"> </w:t>
      </w:r>
      <w:r w:rsidR="00951EDC">
        <w:t xml:space="preserve">aging and age-related cognitive impairment or </w:t>
      </w:r>
      <w:r>
        <w:t xml:space="preserve">medically disadvantaged, underrepresented minority, and/or geographically or clinically isolated populations—and can introduce or evaluate new tools or technologies useful in these populations—are of high interest. </w:t>
      </w:r>
    </w:p>
    <w:p w:rsidR="00D170A5" w:rsidRDefault="00E00875" w:rsidP="00165C57">
      <w:pPr>
        <w:spacing w:after="0" w:line="259" w:lineRule="auto"/>
        <w:ind w:left="541" w:right="0" w:firstLine="0"/>
      </w:pPr>
      <w:r>
        <w:t xml:space="preserve"> </w:t>
      </w:r>
    </w:p>
    <w:p w:rsidR="00D170A5" w:rsidRDefault="00E00875" w:rsidP="00165C57">
      <w:pPr>
        <w:spacing w:after="0" w:line="259" w:lineRule="auto"/>
        <w:ind w:left="-1" w:right="0"/>
      </w:pPr>
      <w:r>
        <w:rPr>
          <w:b/>
        </w:rPr>
        <w:t xml:space="preserve">Eligibility </w:t>
      </w:r>
      <w:r>
        <w:t xml:space="preserve"> </w:t>
      </w:r>
    </w:p>
    <w:p w:rsidR="00D170A5" w:rsidRDefault="00E00875" w:rsidP="00165C57">
      <w:pPr>
        <w:numPr>
          <w:ilvl w:val="0"/>
          <w:numId w:val="1"/>
        </w:numPr>
        <w:ind w:right="54" w:hanging="360"/>
      </w:pPr>
      <w:r>
        <w:t>Current full-time faculty appointment</w:t>
      </w:r>
      <w:r w:rsidR="002B1ECF">
        <w:t xml:space="preserve"> at a participating institution</w:t>
      </w:r>
      <w:r w:rsidR="00C76111">
        <w:t xml:space="preserve"> or an individual employed by a community organization</w:t>
      </w:r>
      <w:r w:rsidR="00EB7050">
        <w:t>.</w:t>
      </w:r>
    </w:p>
    <w:p w:rsidR="005651F0" w:rsidRDefault="005651F0" w:rsidP="005651F0">
      <w:pPr>
        <w:numPr>
          <w:ilvl w:val="0"/>
          <w:numId w:val="1"/>
        </w:numPr>
        <w:ind w:right="54" w:hanging="360"/>
      </w:pPr>
      <w:r>
        <w:t>Has a focus on relevant clinical-translational or community-translational research,</w:t>
      </w:r>
    </w:p>
    <w:p w:rsidR="00D170A5" w:rsidRDefault="00C76111" w:rsidP="00165C57">
      <w:pPr>
        <w:numPr>
          <w:ilvl w:val="0"/>
          <w:numId w:val="1"/>
        </w:numPr>
        <w:ind w:right="54" w:hanging="360"/>
      </w:pPr>
      <w:r>
        <w:t>At least one team member must be e</w:t>
      </w:r>
      <w:r w:rsidR="00E00875">
        <w:t>ligible to apply for NIH funds (i.e. US citizen or a permanent resident)</w:t>
      </w:r>
      <w:r w:rsidR="00EB7050">
        <w:t>.</w:t>
      </w:r>
    </w:p>
    <w:p w:rsidR="00FA03B1" w:rsidRDefault="00FA03B1" w:rsidP="00FA03B1">
      <w:pPr>
        <w:numPr>
          <w:ilvl w:val="0"/>
          <w:numId w:val="1"/>
        </w:numPr>
        <w:ind w:right="54" w:hanging="360"/>
      </w:pPr>
      <w:r>
        <w:t>Letter of Support from a community organi</w:t>
      </w:r>
      <w:r w:rsidR="00C76111">
        <w:t xml:space="preserve">zation or community partner(s) </w:t>
      </w:r>
      <w:r>
        <w:t>defined as a set of persons with shared commonalities, such as demographic or geo</w:t>
      </w:r>
      <w:r w:rsidR="00C76111">
        <w:t>graphic, and health-based focus</w:t>
      </w:r>
      <w:r w:rsidR="00EB7050">
        <w:t>.</w:t>
      </w:r>
    </w:p>
    <w:p w:rsidR="00F8621B" w:rsidRDefault="00165C57" w:rsidP="00165C57">
      <w:pPr>
        <w:numPr>
          <w:ilvl w:val="0"/>
          <w:numId w:val="1"/>
        </w:numPr>
        <w:ind w:right="54" w:hanging="360"/>
      </w:pPr>
      <w:r>
        <w:t xml:space="preserve">Applicants can only apply to one of the </w:t>
      </w:r>
      <w:r w:rsidR="00140610">
        <w:t xml:space="preserve">two </w:t>
      </w:r>
      <w:r>
        <w:t>awards</w:t>
      </w:r>
      <w:r w:rsidR="00140610" w:rsidRPr="00140610">
        <w:t xml:space="preserve"> </w:t>
      </w:r>
      <w:r w:rsidR="00140610">
        <w:t>available.</w:t>
      </w:r>
      <w:r>
        <w:t xml:space="preserve"> </w:t>
      </w:r>
    </w:p>
    <w:p w:rsidR="00D12197" w:rsidRDefault="00D12197" w:rsidP="00165C57">
      <w:pPr>
        <w:numPr>
          <w:ilvl w:val="0"/>
          <w:numId w:val="1"/>
        </w:numPr>
        <w:ind w:right="54" w:hanging="360"/>
      </w:pPr>
      <w:r>
        <w:t>Organization must have the administrative and accounting capabilities to manage the grant funds and have an Employer Identification Number (EIN) from the Internal Revenue Service</w:t>
      </w:r>
      <w:r w:rsidR="00EB7050">
        <w:t>.</w:t>
      </w:r>
    </w:p>
    <w:p w:rsidR="00F8621B" w:rsidRDefault="00F8621B" w:rsidP="00F8621B">
      <w:pPr>
        <w:ind w:right="54"/>
      </w:pPr>
    </w:p>
    <w:p w:rsidR="00F8621B" w:rsidRPr="00F8621B" w:rsidRDefault="00F8621B" w:rsidP="00F8621B">
      <w:pPr>
        <w:ind w:right="54"/>
        <w:rPr>
          <w:b/>
        </w:rPr>
      </w:pPr>
      <w:r w:rsidRPr="00F8621B">
        <w:rPr>
          <w:b/>
        </w:rPr>
        <w:t>Exclusions</w:t>
      </w:r>
    </w:p>
    <w:p w:rsidR="00F8621B" w:rsidRDefault="00F8621B" w:rsidP="00F8621B">
      <w:pPr>
        <w:pStyle w:val="ListParagraph"/>
        <w:numPr>
          <w:ilvl w:val="0"/>
          <w:numId w:val="11"/>
        </w:numPr>
        <w:ind w:left="540" w:right="54"/>
      </w:pPr>
      <w:r>
        <w:t>Projects that do not involve community engagement within the affected community or population</w:t>
      </w:r>
      <w:r w:rsidR="00EB7050">
        <w:t>.</w:t>
      </w:r>
      <w:r>
        <w:t xml:space="preserve"> </w:t>
      </w:r>
    </w:p>
    <w:p w:rsidR="00D170A5" w:rsidRDefault="00F8621B" w:rsidP="00F8621B">
      <w:pPr>
        <w:pStyle w:val="ListParagraph"/>
        <w:numPr>
          <w:ilvl w:val="0"/>
          <w:numId w:val="11"/>
        </w:numPr>
        <w:ind w:left="540" w:right="54"/>
      </w:pPr>
      <w:r>
        <w:t xml:space="preserve">Projects designed to demonstrate that health disparities exist </w:t>
      </w:r>
      <w:r w:rsidR="00FA03B1">
        <w:t>rather than</w:t>
      </w:r>
      <w:r w:rsidR="000F0E30">
        <w:t xml:space="preserve"> address or reduce</w:t>
      </w:r>
      <w:r>
        <w:t xml:space="preserve"> health disparities</w:t>
      </w:r>
      <w:r w:rsidR="00EB7050">
        <w:t>.</w:t>
      </w:r>
      <w:r>
        <w:t xml:space="preserve"> </w:t>
      </w:r>
    </w:p>
    <w:p w:rsidR="00F8621B" w:rsidRDefault="00140610" w:rsidP="00F8621B">
      <w:pPr>
        <w:pStyle w:val="ListParagraph"/>
        <w:numPr>
          <w:ilvl w:val="0"/>
          <w:numId w:val="11"/>
        </w:numPr>
        <w:ind w:left="540" w:right="54"/>
      </w:pPr>
      <w:r>
        <w:t>Research conducted</w:t>
      </w:r>
      <w:r w:rsidR="00F8621B">
        <w:t xml:space="preserve"> outside of the Great Plains region (Nebraska, South Dakota, an</w:t>
      </w:r>
      <w:r w:rsidR="00EB7050">
        <w:t>d North Dakota).</w:t>
      </w:r>
      <w:r w:rsidR="00F8621B">
        <w:t xml:space="preserve"> </w:t>
      </w:r>
    </w:p>
    <w:p w:rsidR="00F8621B" w:rsidRDefault="00F8621B" w:rsidP="00F8621B">
      <w:pPr>
        <w:pStyle w:val="ListParagraph"/>
        <w:numPr>
          <w:ilvl w:val="0"/>
          <w:numId w:val="11"/>
        </w:numPr>
        <w:ind w:left="540" w:right="54"/>
      </w:pPr>
      <w:r>
        <w:t>Applications that are submitted without a Letter of Support from the community organization or partners cited within the proposal.</w:t>
      </w:r>
    </w:p>
    <w:p w:rsidR="00D170A5" w:rsidRDefault="00D170A5" w:rsidP="00165C57">
      <w:pPr>
        <w:spacing w:after="79" w:line="259" w:lineRule="auto"/>
        <w:ind w:left="506" w:right="0" w:firstLine="0"/>
      </w:pPr>
    </w:p>
    <w:p w:rsidR="00D170A5" w:rsidRDefault="00E00875" w:rsidP="00165C57">
      <w:pPr>
        <w:spacing w:after="0" w:line="259" w:lineRule="auto"/>
        <w:ind w:left="-1" w:right="0"/>
      </w:pPr>
      <w:r>
        <w:rPr>
          <w:b/>
        </w:rPr>
        <w:t>Eligible Institutions and Contacts:</w:t>
      </w:r>
      <w:r>
        <w:t xml:space="preserve"> </w:t>
      </w:r>
    </w:p>
    <w:p w:rsidR="00D170A5" w:rsidRDefault="00E00875" w:rsidP="00165C57">
      <w:pPr>
        <w:numPr>
          <w:ilvl w:val="0"/>
          <w:numId w:val="1"/>
        </w:numPr>
        <w:ind w:right="54" w:hanging="360"/>
      </w:pPr>
      <w:r>
        <w:t>Boys Town Natl. Research Hospital (BTNRH) – Lori Leibold (</w:t>
      </w:r>
      <w:hyperlink r:id="rId12" w:history="1">
        <w:r w:rsidR="005E47EF" w:rsidRPr="00C42E68">
          <w:rPr>
            <w:rStyle w:val="Hyperlink"/>
          </w:rPr>
          <w:t>lori.leibold@boystown.org</w:t>
        </w:r>
      </w:hyperlink>
      <w:r>
        <w:t xml:space="preserve">) </w:t>
      </w:r>
    </w:p>
    <w:p w:rsidR="00D170A5" w:rsidRDefault="00E00875" w:rsidP="00165C57">
      <w:pPr>
        <w:numPr>
          <w:ilvl w:val="0"/>
          <w:numId w:val="1"/>
        </w:numPr>
        <w:ind w:right="54" w:hanging="360"/>
      </w:pPr>
      <w:r>
        <w:t>North Dakota State University (NDSU) – Mark McCourt (</w:t>
      </w:r>
      <w:hyperlink r:id="rId13" w:history="1">
        <w:r w:rsidR="005E47EF" w:rsidRPr="00C42E68">
          <w:rPr>
            <w:rStyle w:val="Hyperlink"/>
          </w:rPr>
          <w:t>mark.mccourt@ndsu.edu</w:t>
        </w:r>
      </w:hyperlink>
      <w:r>
        <w:t xml:space="preserve">) </w:t>
      </w:r>
    </w:p>
    <w:p w:rsidR="00D170A5" w:rsidRDefault="00E00875" w:rsidP="00165C57">
      <w:pPr>
        <w:numPr>
          <w:ilvl w:val="0"/>
          <w:numId w:val="1"/>
        </w:numPr>
        <w:ind w:right="54" w:hanging="360"/>
      </w:pPr>
      <w:r>
        <w:t>University of Nebraska at Kearney (UNK) – Kimberly Carlson (</w:t>
      </w:r>
      <w:hyperlink r:id="rId14" w:history="1">
        <w:r w:rsidR="005E47EF" w:rsidRPr="00C42E68">
          <w:rPr>
            <w:rStyle w:val="Hyperlink"/>
          </w:rPr>
          <w:t>carlsonka1@unk.edu</w:t>
        </w:r>
      </w:hyperlink>
      <w:r>
        <w:t xml:space="preserve">) </w:t>
      </w:r>
    </w:p>
    <w:p w:rsidR="00D170A5" w:rsidRPr="00DD377E" w:rsidRDefault="00E00875" w:rsidP="00165C57">
      <w:pPr>
        <w:numPr>
          <w:ilvl w:val="0"/>
          <w:numId w:val="1"/>
        </w:numPr>
        <w:ind w:right="54" w:hanging="360"/>
      </w:pPr>
      <w:r>
        <w:lastRenderedPageBreak/>
        <w:t xml:space="preserve">University of Nebraska-Lincoln (UNL) – David </w:t>
      </w:r>
      <w:r w:rsidRPr="00DD377E">
        <w:t>Hansen (</w:t>
      </w:r>
      <w:hyperlink r:id="rId15" w:history="1">
        <w:r w:rsidR="005E47EF" w:rsidRPr="00DD377E">
          <w:rPr>
            <w:rStyle w:val="Hyperlink"/>
          </w:rPr>
          <w:t>dhansen1@unl.edu</w:t>
        </w:r>
      </w:hyperlink>
      <w:r w:rsidRPr="00DD377E">
        <w:t xml:space="preserve">) </w:t>
      </w:r>
    </w:p>
    <w:p w:rsidR="00D170A5" w:rsidRPr="00DD377E" w:rsidRDefault="00E00875" w:rsidP="00165C57">
      <w:pPr>
        <w:numPr>
          <w:ilvl w:val="0"/>
          <w:numId w:val="1"/>
        </w:numPr>
        <w:ind w:right="54" w:hanging="360"/>
      </w:pPr>
      <w:r w:rsidRPr="00DD377E">
        <w:t xml:space="preserve">University of Nebraska Medical Center (UNMC) – </w:t>
      </w:r>
      <w:r w:rsidR="000818F0" w:rsidRPr="00DD377E">
        <w:t>Paul Estabrooks (</w:t>
      </w:r>
      <w:hyperlink r:id="rId16" w:history="1">
        <w:r w:rsidR="000818F0" w:rsidRPr="00DD377E">
          <w:rPr>
            <w:rStyle w:val="Hyperlink"/>
          </w:rPr>
          <w:t>paul.estabrooks@unmc.edu</w:t>
        </w:r>
      </w:hyperlink>
      <w:r w:rsidR="000818F0" w:rsidRPr="00DD377E">
        <w:t>)</w:t>
      </w:r>
    </w:p>
    <w:p w:rsidR="00D170A5" w:rsidRDefault="00E00875" w:rsidP="00165C57">
      <w:pPr>
        <w:numPr>
          <w:ilvl w:val="0"/>
          <w:numId w:val="1"/>
        </w:numPr>
        <w:ind w:right="54" w:hanging="360"/>
      </w:pPr>
      <w:r>
        <w:t>University of Nebraska at Omaha (UNO) – Sara Myers (</w:t>
      </w:r>
      <w:hyperlink r:id="rId17" w:history="1">
        <w:r w:rsidR="005E47EF" w:rsidRPr="00C42E68">
          <w:rPr>
            <w:rStyle w:val="Hyperlink"/>
          </w:rPr>
          <w:t>samyers@unomaha.edu</w:t>
        </w:r>
      </w:hyperlink>
      <w:r>
        <w:t xml:space="preserve">) </w:t>
      </w:r>
    </w:p>
    <w:p w:rsidR="00D170A5" w:rsidRDefault="00E00875" w:rsidP="00165C57">
      <w:pPr>
        <w:numPr>
          <w:ilvl w:val="0"/>
          <w:numId w:val="1"/>
        </w:numPr>
        <w:ind w:right="54" w:hanging="360"/>
      </w:pPr>
      <w:r>
        <w:t>University of North Dakota (UND) – Jonathan Geiger (</w:t>
      </w:r>
      <w:hyperlink r:id="rId18" w:history="1">
        <w:r w:rsidR="005E47EF" w:rsidRPr="00C42E68">
          <w:rPr>
            <w:rStyle w:val="Hyperlink"/>
          </w:rPr>
          <w:t>jonathan.geiger@med.und.edu</w:t>
        </w:r>
      </w:hyperlink>
      <w:r>
        <w:t xml:space="preserve">) </w:t>
      </w:r>
    </w:p>
    <w:p w:rsidR="00D170A5" w:rsidRDefault="00E00875" w:rsidP="00165C57">
      <w:pPr>
        <w:numPr>
          <w:ilvl w:val="0"/>
          <w:numId w:val="1"/>
        </w:numPr>
        <w:ind w:right="54" w:hanging="360"/>
      </w:pPr>
      <w:r>
        <w:t>University of South Dakota (USD) – Robin Miskimins (</w:t>
      </w:r>
      <w:hyperlink r:id="rId19" w:history="1">
        <w:r w:rsidR="005E47EF" w:rsidRPr="00C42E68">
          <w:rPr>
            <w:rStyle w:val="Hyperlink"/>
          </w:rPr>
          <w:t>robin.miskimins@usd.edu</w:t>
        </w:r>
      </w:hyperlink>
      <w:r>
        <w:t xml:space="preserve">) </w:t>
      </w:r>
    </w:p>
    <w:p w:rsidR="00D170A5" w:rsidRDefault="00E00875" w:rsidP="003611EA">
      <w:pPr>
        <w:spacing w:after="77" w:line="259" w:lineRule="auto"/>
        <w:ind w:left="4" w:right="0" w:firstLine="0"/>
        <w:rPr>
          <w:b/>
        </w:rPr>
      </w:pPr>
      <w:r>
        <w:rPr>
          <w:b/>
        </w:rPr>
        <w:t xml:space="preserve"> </w:t>
      </w:r>
    </w:p>
    <w:p w:rsidR="003611EA" w:rsidRDefault="003611EA" w:rsidP="003611EA">
      <w:pPr>
        <w:spacing w:after="77" w:line="259" w:lineRule="auto"/>
        <w:ind w:left="4" w:right="0" w:firstLine="0"/>
      </w:pPr>
    </w:p>
    <w:p w:rsidR="00D170A5" w:rsidRDefault="00E00875" w:rsidP="00165C57">
      <w:pPr>
        <w:spacing w:after="0" w:line="259" w:lineRule="auto"/>
        <w:ind w:left="5" w:right="0" w:firstLine="0"/>
      </w:pPr>
      <w:r>
        <w:rPr>
          <w:b/>
        </w:rPr>
        <w:t xml:space="preserve"> </w:t>
      </w:r>
      <w:r>
        <w:rPr>
          <w:b/>
        </w:rPr>
        <w:tab/>
        <w:t xml:space="preserve"> </w:t>
      </w:r>
    </w:p>
    <w:p w:rsidR="00A31E42" w:rsidRDefault="00A31E42" w:rsidP="00A31E42">
      <w:pPr>
        <w:pStyle w:val="Heading1"/>
        <w:ind w:right="60"/>
        <w:jc w:val="left"/>
      </w:pPr>
      <w:r>
        <w:t>Application Process and Requirements (including key dates)</w:t>
      </w:r>
    </w:p>
    <w:p w:rsidR="00A31E42" w:rsidRDefault="00A31E42" w:rsidP="00A31E42">
      <w:pPr>
        <w:numPr>
          <w:ilvl w:val="0"/>
          <w:numId w:val="5"/>
        </w:numPr>
        <w:ind w:left="540" w:right="54" w:hanging="360"/>
      </w:pPr>
      <w:r w:rsidRPr="000127E0">
        <w:t xml:space="preserve">Call for </w:t>
      </w:r>
      <w:r>
        <w:t>applications (December 2017)</w:t>
      </w:r>
    </w:p>
    <w:p w:rsidR="00A31E42" w:rsidRDefault="00225D6E" w:rsidP="00A31E42">
      <w:pPr>
        <w:numPr>
          <w:ilvl w:val="0"/>
          <w:numId w:val="5"/>
        </w:numPr>
        <w:ind w:left="540" w:right="54" w:hanging="360"/>
      </w:pPr>
      <w:r>
        <w:t>Consult with BERD Core before submitting application (project awards only)</w:t>
      </w:r>
      <w:r w:rsidR="00CF6C0E">
        <w:t xml:space="preserve">. Request a consultation via this link: </w:t>
      </w:r>
      <w:hyperlink r:id="rId20" w:history="1">
        <w:r w:rsidR="00CF6C0E" w:rsidRPr="00FC5D88">
          <w:rPr>
            <w:rStyle w:val="Hyperlink"/>
          </w:rPr>
          <w:t>https://www.unmc.edu/publichealth/centers/ccorda/request.html</w:t>
        </w:r>
      </w:hyperlink>
    </w:p>
    <w:p w:rsidR="00A31E42" w:rsidRDefault="00A31E42" w:rsidP="00A31E42">
      <w:pPr>
        <w:numPr>
          <w:ilvl w:val="0"/>
          <w:numId w:val="5"/>
        </w:numPr>
        <w:ind w:left="540" w:right="54" w:hanging="360"/>
      </w:pPr>
      <w:r>
        <w:t>Application Deadline (January 31, 2018)</w:t>
      </w:r>
    </w:p>
    <w:p w:rsidR="00225D6E" w:rsidRDefault="00225D6E" w:rsidP="00225D6E">
      <w:pPr>
        <w:numPr>
          <w:ilvl w:val="0"/>
          <w:numId w:val="5"/>
        </w:numPr>
        <w:ind w:left="540" w:right="54" w:hanging="360"/>
      </w:pPr>
      <w:r>
        <w:t>IRB Submission Due Date (before NIH approval)</w:t>
      </w:r>
    </w:p>
    <w:p w:rsidR="00A31E42" w:rsidRDefault="00A31E42" w:rsidP="00A31E42">
      <w:pPr>
        <w:numPr>
          <w:ilvl w:val="0"/>
          <w:numId w:val="5"/>
        </w:numPr>
        <w:ind w:left="540" w:right="54" w:hanging="360"/>
      </w:pPr>
      <w:r>
        <w:t>Selection Announcement (April 2018)</w:t>
      </w:r>
    </w:p>
    <w:p w:rsidR="00A31E42" w:rsidRDefault="00A31E42" w:rsidP="00A31E42">
      <w:pPr>
        <w:numPr>
          <w:ilvl w:val="0"/>
          <w:numId w:val="5"/>
        </w:numPr>
        <w:ind w:left="540" w:right="54" w:hanging="360"/>
      </w:pPr>
      <w:r>
        <w:t>CITI Training Due Date (before end of April 2018)</w:t>
      </w:r>
    </w:p>
    <w:p w:rsidR="00A31E42" w:rsidRDefault="00A31E42" w:rsidP="00A31E42">
      <w:pPr>
        <w:numPr>
          <w:ilvl w:val="0"/>
          <w:numId w:val="5"/>
        </w:numPr>
        <w:ind w:left="540" w:right="54" w:hanging="360"/>
      </w:pPr>
      <w:r>
        <w:t>Dissemination and Implementation Workshop (June 2018)</w:t>
      </w:r>
    </w:p>
    <w:p w:rsidR="00A31E42" w:rsidRDefault="00A31E42" w:rsidP="00A31E42">
      <w:pPr>
        <w:numPr>
          <w:ilvl w:val="1"/>
          <w:numId w:val="5"/>
        </w:numPr>
        <w:ind w:right="54" w:hanging="360"/>
      </w:pPr>
      <w:r>
        <w:t>Funds are released after completion of all training and submission requirements</w:t>
      </w:r>
    </w:p>
    <w:p w:rsidR="00A31E42" w:rsidRDefault="00A31E42" w:rsidP="00A31E42">
      <w:pPr>
        <w:numPr>
          <w:ilvl w:val="0"/>
          <w:numId w:val="5"/>
        </w:numPr>
        <w:ind w:left="540" w:right="54" w:hanging="360"/>
      </w:pPr>
      <w:r>
        <w:t>Project Begin Date (July 1, 2018)</w:t>
      </w:r>
    </w:p>
    <w:p w:rsidR="00A31E42" w:rsidRPr="000127E0" w:rsidRDefault="00A31E42" w:rsidP="00A31E42">
      <w:pPr>
        <w:numPr>
          <w:ilvl w:val="0"/>
          <w:numId w:val="5"/>
        </w:numPr>
        <w:ind w:left="540" w:right="54" w:hanging="360"/>
      </w:pPr>
      <w:r>
        <w:t>Annual Science Meeting (October 2018)</w:t>
      </w:r>
    </w:p>
    <w:p w:rsidR="00A31E42" w:rsidRDefault="00A31E42" w:rsidP="00A31E42">
      <w:pPr>
        <w:spacing w:after="0" w:line="259" w:lineRule="auto"/>
        <w:ind w:left="-1" w:right="0"/>
        <w:rPr>
          <w:b/>
        </w:rPr>
      </w:pPr>
    </w:p>
    <w:p w:rsidR="00D170A5" w:rsidRDefault="00D30D4F" w:rsidP="00165C57">
      <w:pPr>
        <w:spacing w:after="0" w:line="259" w:lineRule="auto"/>
        <w:ind w:left="-1" w:right="0"/>
      </w:pPr>
      <w:r>
        <w:rPr>
          <w:b/>
        </w:rPr>
        <w:t>Proposal</w:t>
      </w:r>
      <w:r w:rsidR="00006D40">
        <w:rPr>
          <w:b/>
        </w:rPr>
        <w:t xml:space="preserve"> Format</w:t>
      </w:r>
      <w:r w:rsidR="0085073F">
        <w:rPr>
          <w:b/>
        </w:rPr>
        <w:t xml:space="preserve"> and Guidelines</w:t>
      </w:r>
      <w:r w:rsidR="00E00875">
        <w:rPr>
          <w:b/>
        </w:rPr>
        <w:t xml:space="preserve">:   </w:t>
      </w:r>
    </w:p>
    <w:p w:rsidR="00D170A5" w:rsidRDefault="0085073F" w:rsidP="000F0E30">
      <w:pPr>
        <w:numPr>
          <w:ilvl w:val="0"/>
          <w:numId w:val="3"/>
        </w:numPr>
        <w:ind w:left="540" w:right="54" w:hanging="360"/>
      </w:pPr>
      <w:r>
        <w:t>Cover Letter:</w:t>
      </w:r>
    </w:p>
    <w:p w:rsidR="0085073F" w:rsidRDefault="0085073F" w:rsidP="0085073F">
      <w:pPr>
        <w:numPr>
          <w:ilvl w:val="1"/>
          <w:numId w:val="3"/>
        </w:numPr>
        <w:ind w:left="900" w:right="54" w:hanging="360"/>
      </w:pPr>
      <w:r>
        <w:t>Project name</w:t>
      </w:r>
    </w:p>
    <w:p w:rsidR="0085073F" w:rsidRDefault="0085073F" w:rsidP="0085073F">
      <w:pPr>
        <w:numPr>
          <w:ilvl w:val="1"/>
          <w:numId w:val="3"/>
        </w:numPr>
        <w:ind w:left="900" w:right="54" w:hanging="360"/>
      </w:pPr>
      <w:r>
        <w:t xml:space="preserve">Name of Academic Partner </w:t>
      </w:r>
    </w:p>
    <w:p w:rsidR="0085073F" w:rsidRDefault="0085073F" w:rsidP="0085073F">
      <w:pPr>
        <w:numPr>
          <w:ilvl w:val="1"/>
          <w:numId w:val="3"/>
        </w:numPr>
        <w:ind w:left="900" w:right="54" w:hanging="360"/>
      </w:pPr>
      <w:r>
        <w:t>Academic Partner’s institution</w:t>
      </w:r>
    </w:p>
    <w:p w:rsidR="0085073F" w:rsidRDefault="001B6580" w:rsidP="0085073F">
      <w:pPr>
        <w:numPr>
          <w:ilvl w:val="1"/>
          <w:numId w:val="3"/>
        </w:numPr>
        <w:ind w:left="900" w:right="54" w:hanging="360"/>
      </w:pPr>
      <w:r>
        <w:t xml:space="preserve">Name of </w:t>
      </w:r>
      <w:r w:rsidR="0085073F">
        <w:t xml:space="preserve">Community </w:t>
      </w:r>
      <w:r>
        <w:t>P</w:t>
      </w:r>
      <w:r w:rsidR="0085073F">
        <w:t xml:space="preserve">artner and/or </w:t>
      </w:r>
      <w:r>
        <w:t>o</w:t>
      </w:r>
      <w:r w:rsidR="0085073F">
        <w:t xml:space="preserve">rganization </w:t>
      </w:r>
    </w:p>
    <w:p w:rsidR="0085073F" w:rsidRDefault="0085073F" w:rsidP="0085073F">
      <w:pPr>
        <w:numPr>
          <w:ilvl w:val="0"/>
          <w:numId w:val="3"/>
        </w:numPr>
        <w:ind w:left="540" w:right="54" w:hanging="360"/>
      </w:pPr>
      <w:r>
        <w:t xml:space="preserve">Proposal </w:t>
      </w:r>
      <w:r w:rsidR="000127E0">
        <w:t xml:space="preserve">(no appendices): </w:t>
      </w:r>
    </w:p>
    <w:p w:rsidR="0085073F" w:rsidRDefault="0085073F" w:rsidP="0085073F">
      <w:pPr>
        <w:numPr>
          <w:ilvl w:val="1"/>
          <w:numId w:val="3"/>
        </w:numPr>
        <w:ind w:left="900" w:right="54" w:hanging="360"/>
      </w:pPr>
      <w:r>
        <w:t>Significance (1/2 page)</w:t>
      </w:r>
    </w:p>
    <w:p w:rsidR="001B6580" w:rsidRDefault="001B6580" w:rsidP="001B6580">
      <w:pPr>
        <w:numPr>
          <w:ilvl w:val="1"/>
          <w:numId w:val="3"/>
        </w:numPr>
        <w:ind w:left="900" w:right="54" w:hanging="360"/>
      </w:pPr>
      <w:r>
        <w:t>Innovation</w:t>
      </w:r>
      <w:r w:rsidR="0085073F">
        <w:t xml:space="preserve"> </w:t>
      </w:r>
      <w:r>
        <w:t>(1/2 page)</w:t>
      </w:r>
    </w:p>
    <w:p w:rsidR="001B6580" w:rsidRDefault="001B6580" w:rsidP="0085073F">
      <w:pPr>
        <w:numPr>
          <w:ilvl w:val="1"/>
          <w:numId w:val="3"/>
        </w:numPr>
        <w:ind w:left="900" w:right="54" w:hanging="360"/>
      </w:pPr>
      <w:r>
        <w:t>Description of the Partnership and Development Plans (1/2 page)</w:t>
      </w:r>
    </w:p>
    <w:p w:rsidR="001B6580" w:rsidRDefault="001B6580" w:rsidP="0085073F">
      <w:pPr>
        <w:numPr>
          <w:ilvl w:val="1"/>
          <w:numId w:val="3"/>
        </w:numPr>
        <w:ind w:left="900" w:right="54" w:hanging="360"/>
      </w:pPr>
      <w:r>
        <w:t>Approach (</w:t>
      </w:r>
      <w:r w:rsidR="009F57F7">
        <w:t>1 page</w:t>
      </w:r>
      <w:r>
        <w:t>)</w:t>
      </w:r>
    </w:p>
    <w:p w:rsidR="001B6580" w:rsidRDefault="001B6580" w:rsidP="0085073F">
      <w:pPr>
        <w:numPr>
          <w:ilvl w:val="1"/>
          <w:numId w:val="3"/>
        </w:numPr>
        <w:ind w:left="900" w:right="54" w:hanging="360"/>
      </w:pPr>
      <w:r>
        <w:t>Expected Outcomes and Future Directions (1/2 page)</w:t>
      </w:r>
    </w:p>
    <w:p w:rsidR="000127E0" w:rsidRDefault="000127E0" w:rsidP="000127E0">
      <w:pPr>
        <w:numPr>
          <w:ilvl w:val="0"/>
          <w:numId w:val="3"/>
        </w:numPr>
        <w:ind w:left="540" w:right="54" w:hanging="360"/>
      </w:pPr>
      <w:r>
        <w:t>Letter of Support from partner and/or organization</w:t>
      </w:r>
    </w:p>
    <w:p w:rsidR="0085073F" w:rsidRDefault="0085073F" w:rsidP="0085073F">
      <w:pPr>
        <w:numPr>
          <w:ilvl w:val="0"/>
          <w:numId w:val="3"/>
        </w:numPr>
        <w:ind w:left="540" w:right="54" w:hanging="360"/>
      </w:pPr>
      <w:r>
        <w:t xml:space="preserve">Proposed budget (see below for </w:t>
      </w:r>
      <w:r w:rsidR="00DD0D3A">
        <w:t>form</w:t>
      </w:r>
      <w:r>
        <w:t xml:space="preserve"> and </w:t>
      </w:r>
      <w:r w:rsidR="00DD0D3A">
        <w:t>guidelines</w:t>
      </w:r>
      <w:r>
        <w:t>)</w:t>
      </w:r>
      <w:r w:rsidR="0014747C">
        <w:t xml:space="preserve"> and budget justification</w:t>
      </w:r>
    </w:p>
    <w:p w:rsidR="000127E0" w:rsidRDefault="000127E0" w:rsidP="0085073F">
      <w:pPr>
        <w:numPr>
          <w:ilvl w:val="0"/>
          <w:numId w:val="3"/>
        </w:numPr>
        <w:ind w:left="540" w:right="54" w:hanging="360"/>
      </w:pPr>
      <w:r>
        <w:t>NIH Biosketch from all research partners</w:t>
      </w:r>
    </w:p>
    <w:p w:rsidR="00DB2186" w:rsidRPr="00DD377E" w:rsidRDefault="006F0273" w:rsidP="00AC590B">
      <w:pPr>
        <w:spacing w:before="240"/>
        <w:ind w:right="54"/>
      </w:pPr>
      <w:r w:rsidRPr="00DD377E">
        <w:rPr>
          <w:b/>
        </w:rPr>
        <w:t xml:space="preserve">Application </w:t>
      </w:r>
      <w:r w:rsidR="00DB2186" w:rsidRPr="00DD377E">
        <w:rPr>
          <w:b/>
        </w:rPr>
        <w:t>Submission:</w:t>
      </w:r>
    </w:p>
    <w:p w:rsidR="00DB2186" w:rsidRDefault="00DB2186" w:rsidP="00DB2186">
      <w:pPr>
        <w:ind w:right="54"/>
      </w:pPr>
      <w:r w:rsidRPr="00DD377E">
        <w:t>Applications should be saved in pdf format and submitted via REDCap</w:t>
      </w:r>
      <w:r w:rsidR="006F0273" w:rsidRPr="00DD377E">
        <w:t>,</w:t>
      </w:r>
      <w:r w:rsidRPr="00DD377E">
        <w:t xml:space="preserve"> using this link: </w:t>
      </w:r>
      <w:hyperlink r:id="rId21" w:history="1">
        <w:r w:rsidRPr="00DD377E">
          <w:rPr>
            <w:rStyle w:val="Hyperlink"/>
          </w:rPr>
          <w:t>https://unmcredcap.unmc.edu/redcap/surveys/?s=3DLW8W4TN9</w:t>
        </w:r>
      </w:hyperlink>
      <w:r w:rsidR="00AC590B" w:rsidRPr="00DD377E">
        <w:t>. Deadline is</w:t>
      </w:r>
      <w:r w:rsidRPr="00DD377E">
        <w:t xml:space="preserve"> 5 pm CST on January 31, 2018. Should you have difficulty with your submission, contact Sean Navarrette at </w:t>
      </w:r>
      <w:hyperlink r:id="rId22" w:history="1">
        <w:r w:rsidR="006F0273" w:rsidRPr="00DD377E">
          <w:rPr>
            <w:rStyle w:val="Hyperlink"/>
          </w:rPr>
          <w:t>sean.navarrette@unmc.edu</w:t>
        </w:r>
      </w:hyperlink>
      <w:r w:rsidR="006F0273" w:rsidRPr="00DD377E">
        <w:t xml:space="preserve"> or 402.559.</w:t>
      </w:r>
      <w:r w:rsidR="000818F0" w:rsidRPr="00DD377E">
        <w:t>9322.</w:t>
      </w:r>
      <w:r>
        <w:t xml:space="preserve"> </w:t>
      </w:r>
    </w:p>
    <w:p w:rsidR="00D170A5" w:rsidRDefault="00D170A5" w:rsidP="00165C57">
      <w:pPr>
        <w:spacing w:after="0" w:line="259" w:lineRule="auto"/>
        <w:ind w:left="1" w:right="0" w:firstLine="0"/>
      </w:pPr>
    </w:p>
    <w:p w:rsidR="00165C57" w:rsidRDefault="00165C57" w:rsidP="00165C57">
      <w:pPr>
        <w:spacing w:after="0" w:line="259" w:lineRule="auto"/>
        <w:ind w:left="-1" w:right="0"/>
      </w:pPr>
      <w:r>
        <w:rPr>
          <w:b/>
        </w:rPr>
        <w:t xml:space="preserve">Review Process </w:t>
      </w:r>
      <w:r w:rsidR="00006D40">
        <w:rPr>
          <w:b/>
        </w:rPr>
        <w:t>and Scoring</w:t>
      </w:r>
      <w:r>
        <w:rPr>
          <w:b/>
        </w:rPr>
        <w:t xml:space="preserve">   </w:t>
      </w:r>
      <w:r>
        <w:t xml:space="preserve"> </w:t>
      </w:r>
    </w:p>
    <w:p w:rsidR="001C0C52" w:rsidRDefault="001C0C52" w:rsidP="001C0C52">
      <w:pPr>
        <w:numPr>
          <w:ilvl w:val="0"/>
          <w:numId w:val="4"/>
        </w:numPr>
        <w:ind w:left="540" w:right="54" w:hanging="360"/>
      </w:pPr>
      <w:r>
        <w:t>Proposals are presented to GP IDeA-CTR Community Advisory Board members during meeting.</w:t>
      </w:r>
    </w:p>
    <w:p w:rsidR="00165C57" w:rsidRDefault="008C437E" w:rsidP="000F0E30">
      <w:pPr>
        <w:numPr>
          <w:ilvl w:val="0"/>
          <w:numId w:val="4"/>
        </w:numPr>
        <w:ind w:left="540" w:right="54" w:hanging="360"/>
      </w:pPr>
      <w:r>
        <w:t xml:space="preserve">Proposals </w:t>
      </w:r>
      <w:r w:rsidR="001C0C52">
        <w:t xml:space="preserve">and scores </w:t>
      </w:r>
      <w:r>
        <w:t xml:space="preserve">are submitted to </w:t>
      </w:r>
      <w:r w:rsidR="00FA78DA">
        <w:t xml:space="preserve">the </w:t>
      </w:r>
      <w:r w:rsidR="001C0C52">
        <w:t>GP IDeA-CTR Steering Committee.</w:t>
      </w:r>
    </w:p>
    <w:p w:rsidR="008C437E" w:rsidRDefault="008C437E" w:rsidP="000F0E30">
      <w:pPr>
        <w:numPr>
          <w:ilvl w:val="0"/>
          <w:numId w:val="4"/>
        </w:numPr>
        <w:ind w:left="540" w:right="54" w:hanging="360"/>
      </w:pPr>
      <w:r>
        <w:t>Highest reviewed proposals are sent to NIH for approval</w:t>
      </w:r>
      <w:r w:rsidR="00225D6E">
        <w:t xml:space="preserve"> (IRB approval is required by NIH). </w:t>
      </w:r>
      <w:r>
        <w:t xml:space="preserve"> </w:t>
      </w:r>
    </w:p>
    <w:p w:rsidR="008C437E" w:rsidRDefault="008C437E" w:rsidP="000F0E30">
      <w:pPr>
        <w:numPr>
          <w:ilvl w:val="0"/>
          <w:numId w:val="4"/>
        </w:numPr>
        <w:ind w:left="540" w:right="54" w:hanging="360"/>
      </w:pPr>
      <w:r>
        <w:t xml:space="preserve">Selections are announced. </w:t>
      </w:r>
    </w:p>
    <w:p w:rsidR="008C437E" w:rsidRDefault="008C437E" w:rsidP="008C437E">
      <w:pPr>
        <w:ind w:left="540" w:right="54" w:firstLine="0"/>
      </w:pPr>
    </w:p>
    <w:p w:rsidR="00FA78DA" w:rsidRDefault="008C437E" w:rsidP="00FA78DA">
      <w:pPr>
        <w:ind w:left="0" w:right="54" w:firstLine="0"/>
      </w:pPr>
      <w:r>
        <w:t xml:space="preserve">Proposals are scored on a scale of 1 (exceptional) to 9 (poor). All five sections </w:t>
      </w:r>
      <w:r w:rsidR="00FA78DA">
        <w:t xml:space="preserve">outlined </w:t>
      </w:r>
      <w:r>
        <w:t>within the proposal are scored based on this method. In addition, applicati</w:t>
      </w:r>
      <w:r w:rsidR="00FA78DA">
        <w:t xml:space="preserve">ons will be scored according to how well </w:t>
      </w:r>
      <w:r w:rsidR="00FA78DA" w:rsidRPr="00DD377E">
        <w:lastRenderedPageBreak/>
        <w:t>the project addresses a Research Priority indicated by our Community Advisory Board</w:t>
      </w:r>
      <w:r w:rsidR="00544E15" w:rsidRPr="00DD377E">
        <w:t xml:space="preserve"> (listed on second page)</w:t>
      </w:r>
      <w:r w:rsidR="00FA78DA" w:rsidRPr="00DD377E">
        <w:t>.</w:t>
      </w:r>
    </w:p>
    <w:p w:rsidR="00AC590B" w:rsidRPr="00B1747E" w:rsidRDefault="00E00875" w:rsidP="00B1747E">
      <w:pPr>
        <w:spacing w:after="0" w:line="259" w:lineRule="auto"/>
        <w:ind w:left="721" w:right="0" w:firstLine="0"/>
      </w:pPr>
      <w:r>
        <w:rPr>
          <w:color w:val="C00000"/>
        </w:rPr>
        <w:t xml:space="preserve"> </w:t>
      </w:r>
    </w:p>
    <w:p w:rsidR="00D170A5" w:rsidRDefault="00006D40" w:rsidP="00165C57">
      <w:pPr>
        <w:spacing w:after="0" w:line="259" w:lineRule="auto"/>
        <w:ind w:left="-1" w:right="0"/>
      </w:pPr>
      <w:r>
        <w:rPr>
          <w:b/>
        </w:rPr>
        <w:t>Post-Selection Requirement</w:t>
      </w:r>
      <w:r w:rsidR="00A31E42">
        <w:rPr>
          <w:b/>
        </w:rPr>
        <w:t>s</w:t>
      </w:r>
      <w:r w:rsidR="00E00875">
        <w:rPr>
          <w:b/>
        </w:rPr>
        <w:t xml:space="preserve">:   </w:t>
      </w:r>
    </w:p>
    <w:p w:rsidR="00D170A5" w:rsidRDefault="00225D6E" w:rsidP="00A31E42">
      <w:pPr>
        <w:ind w:right="54"/>
      </w:pPr>
      <w:r>
        <w:t xml:space="preserve">All members of the research team will need to </w:t>
      </w:r>
      <w:r w:rsidR="005730A0">
        <w:t>complete</w:t>
      </w:r>
      <w:r>
        <w:t xml:space="preserve"> CITI Training if they’ve not done so already. Additionally, s</w:t>
      </w:r>
      <w:r w:rsidR="00A31E42">
        <w:t xml:space="preserve">elected </w:t>
      </w:r>
      <w:r>
        <w:t>proposals</w:t>
      </w:r>
      <w:r w:rsidR="00A31E42">
        <w:t xml:space="preserve"> will be required to </w:t>
      </w:r>
      <w:r>
        <w:t>submit a six month progress report as well as a final report once the project is complete</w:t>
      </w:r>
      <w:r w:rsidR="00A31E42">
        <w:t>. Academic partners will also be</w:t>
      </w:r>
      <w:r w:rsidR="00544E15">
        <w:t xml:space="preserve"> expected to attend the GP IDeA-</w:t>
      </w:r>
      <w:r w:rsidR="00A31E42">
        <w:t xml:space="preserve">CTR Dissemination and Implementation Workshop prior to the project start date. Lastly, CAP Program projects will be </w:t>
      </w:r>
      <w:r>
        <w:t>required to attend</w:t>
      </w:r>
      <w:r w:rsidR="00544E15">
        <w:t xml:space="preserve"> the GP IDeA-</w:t>
      </w:r>
      <w:r w:rsidR="00A31E42">
        <w:t>CTR Annual Science Meeting in October</w:t>
      </w:r>
      <w:r>
        <w:t xml:space="preserve"> and may be invited to present their project. </w:t>
      </w:r>
    </w:p>
    <w:p w:rsidR="00D170A5" w:rsidRDefault="00E00875" w:rsidP="00165C57">
      <w:pPr>
        <w:spacing w:after="0" w:line="259" w:lineRule="auto"/>
        <w:ind w:left="541" w:right="0" w:firstLine="0"/>
      </w:pPr>
      <w:r>
        <w:rPr>
          <w:b/>
        </w:rPr>
        <w:t xml:space="preserve"> </w:t>
      </w:r>
    </w:p>
    <w:p w:rsidR="00725BBF" w:rsidRPr="00DD377E" w:rsidRDefault="00725BBF">
      <w:pPr>
        <w:spacing w:after="0" w:line="259" w:lineRule="auto"/>
        <w:ind w:left="0" w:right="0" w:firstLine="0"/>
        <w:rPr>
          <w:b/>
        </w:rPr>
      </w:pPr>
      <w:r w:rsidRPr="00DD377E">
        <w:rPr>
          <w:b/>
        </w:rPr>
        <w:t>Questions</w:t>
      </w:r>
    </w:p>
    <w:p w:rsidR="00725BBF" w:rsidRPr="00725BBF" w:rsidRDefault="00725BBF">
      <w:pPr>
        <w:spacing w:after="0" w:line="259" w:lineRule="auto"/>
        <w:ind w:left="0" w:right="0" w:firstLine="0"/>
      </w:pPr>
      <w:r w:rsidRPr="00DD377E">
        <w:t xml:space="preserve">For questions, contact Sean Navarrette, </w:t>
      </w:r>
      <w:hyperlink r:id="rId23" w:history="1">
        <w:r w:rsidRPr="00DD377E">
          <w:rPr>
            <w:rStyle w:val="Hyperlink"/>
          </w:rPr>
          <w:t>sean.navarrette@unmc.edu</w:t>
        </w:r>
      </w:hyperlink>
      <w:r w:rsidRPr="00DD377E">
        <w:t xml:space="preserve"> or 402.559.9322 or the Great Plains IDeA-CTR Office at </w:t>
      </w:r>
      <w:hyperlink r:id="rId24" w:history="1">
        <w:r w:rsidRPr="00DD377E">
          <w:rPr>
            <w:rStyle w:val="Hyperlink"/>
          </w:rPr>
          <w:t>gpctr@unmc.edu</w:t>
        </w:r>
      </w:hyperlink>
      <w:r w:rsidRPr="00DD377E">
        <w:t xml:space="preserve"> or 402.552.2260.</w:t>
      </w:r>
      <w:r w:rsidRPr="00725BBF">
        <w:t xml:space="preserve"> </w:t>
      </w:r>
    </w:p>
    <w:p w:rsidR="00725BBF" w:rsidRPr="00725BBF" w:rsidRDefault="00725BBF">
      <w:pPr>
        <w:spacing w:after="0" w:line="259" w:lineRule="auto"/>
        <w:ind w:left="0" w:right="0" w:firstLine="0"/>
      </w:pPr>
    </w:p>
    <w:p w:rsidR="000F0E30" w:rsidRDefault="000F0E30">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p w:rsidR="00196191" w:rsidRDefault="00196191">
      <w:pPr>
        <w:spacing w:after="160" w:line="259" w:lineRule="auto"/>
        <w:ind w:left="0" w:right="0" w:firstLine="0"/>
        <w:rPr>
          <w:b/>
        </w:rPr>
      </w:pPr>
    </w:p>
    <w:tbl>
      <w:tblPr>
        <w:tblStyle w:val="TableGrid"/>
        <w:tblW w:w="10454" w:type="dxa"/>
        <w:tblInd w:w="13" w:type="dxa"/>
        <w:tblCellMar>
          <w:left w:w="4" w:type="dxa"/>
        </w:tblCellMar>
        <w:tblLook w:val="04A0" w:firstRow="1" w:lastRow="0" w:firstColumn="1" w:lastColumn="0" w:noHBand="0" w:noVBand="1"/>
      </w:tblPr>
      <w:tblGrid>
        <w:gridCol w:w="3356"/>
        <w:gridCol w:w="2742"/>
        <w:gridCol w:w="1471"/>
        <w:gridCol w:w="1318"/>
        <w:gridCol w:w="1567"/>
      </w:tblGrid>
      <w:tr w:rsidR="00D170A5">
        <w:trPr>
          <w:trHeight w:val="892"/>
        </w:trPr>
        <w:tc>
          <w:tcPr>
            <w:tcW w:w="6098" w:type="dxa"/>
            <w:gridSpan w:val="2"/>
            <w:tcBorders>
              <w:top w:val="single" w:sz="8" w:space="0" w:color="000000"/>
              <w:left w:val="single" w:sz="8" w:space="0" w:color="000000"/>
              <w:bottom w:val="single" w:sz="8" w:space="0" w:color="000000"/>
              <w:right w:val="single" w:sz="8" w:space="0" w:color="000000"/>
            </w:tcBorders>
            <w:vAlign w:val="center"/>
          </w:tcPr>
          <w:p w:rsidR="00D170A5" w:rsidRDefault="00240F02" w:rsidP="00240F02">
            <w:pPr>
              <w:spacing w:after="0" w:line="259" w:lineRule="auto"/>
              <w:ind w:right="0"/>
            </w:pPr>
            <w:r>
              <w:rPr>
                <w:b/>
              </w:rPr>
              <w:lastRenderedPageBreak/>
              <w:t xml:space="preserve">      </w:t>
            </w:r>
            <w:r w:rsidR="00E00875">
              <w:rPr>
                <w:b/>
              </w:rPr>
              <w:t>DETA</w:t>
            </w:r>
            <w:r w:rsidR="00DD377E">
              <w:rPr>
                <w:b/>
              </w:rPr>
              <w:t>ILED BUDGET FOR FULL PROPOSAL</w:t>
            </w:r>
          </w:p>
          <w:p w:rsidR="00D170A5" w:rsidRDefault="00D170A5" w:rsidP="00DD377E">
            <w:pPr>
              <w:spacing w:after="0" w:line="259" w:lineRule="auto"/>
              <w:ind w:left="717" w:right="0" w:firstLine="0"/>
              <w:jc w:val="center"/>
            </w:pPr>
          </w:p>
        </w:tc>
        <w:tc>
          <w:tcPr>
            <w:tcW w:w="2789" w:type="dxa"/>
            <w:gridSpan w:val="2"/>
            <w:tcBorders>
              <w:top w:val="single" w:sz="8" w:space="0" w:color="000000"/>
              <w:left w:val="single" w:sz="8" w:space="0" w:color="000000"/>
              <w:bottom w:val="single" w:sz="4" w:space="0" w:color="000000"/>
              <w:right w:val="single" w:sz="8" w:space="0" w:color="000000"/>
            </w:tcBorders>
          </w:tcPr>
          <w:p w:rsidR="00D170A5" w:rsidRDefault="00E00875" w:rsidP="00DD377E">
            <w:pPr>
              <w:spacing w:after="0" w:line="259" w:lineRule="auto"/>
              <w:ind w:right="0"/>
            </w:pPr>
            <w:r>
              <w:rPr>
                <w:b/>
              </w:rPr>
              <w:t xml:space="preserve"> Dates:  </w:t>
            </w:r>
          </w:p>
          <w:p w:rsidR="00D170A5" w:rsidRDefault="00E00875">
            <w:pPr>
              <w:spacing w:after="0" w:line="259" w:lineRule="auto"/>
              <w:ind w:left="563" w:right="0" w:firstLine="0"/>
            </w:pPr>
            <w:r>
              <w:rPr>
                <w:b/>
              </w:rPr>
              <w:t>FROM</w:t>
            </w:r>
            <w:r>
              <w:t xml:space="preserve"> </w:t>
            </w:r>
          </w:p>
          <w:p w:rsidR="00D170A5" w:rsidRDefault="00E00875">
            <w:pPr>
              <w:spacing w:after="0" w:line="259" w:lineRule="auto"/>
              <w:ind w:left="8" w:right="0" w:firstLine="0"/>
            </w:pPr>
            <w:r>
              <w:t xml:space="preserve"> </w:t>
            </w:r>
          </w:p>
          <w:p w:rsidR="00D170A5" w:rsidRDefault="00E00875">
            <w:pPr>
              <w:spacing w:after="0" w:line="259" w:lineRule="auto"/>
              <w:ind w:left="884" w:right="0" w:firstLine="0"/>
            </w:pPr>
            <w:r>
              <w:t xml:space="preserve"> </w:t>
            </w:r>
          </w:p>
        </w:tc>
        <w:tc>
          <w:tcPr>
            <w:tcW w:w="1567" w:type="dxa"/>
            <w:tcBorders>
              <w:top w:val="single" w:sz="8" w:space="0" w:color="000000"/>
              <w:left w:val="single" w:sz="8" w:space="0" w:color="000000"/>
              <w:bottom w:val="single" w:sz="4" w:space="0" w:color="000000"/>
              <w:right w:val="single" w:sz="8" w:space="0" w:color="000000"/>
            </w:tcBorders>
            <w:vAlign w:val="bottom"/>
          </w:tcPr>
          <w:p w:rsidR="00D170A5" w:rsidRDefault="00E00875">
            <w:pPr>
              <w:spacing w:after="0" w:line="259" w:lineRule="auto"/>
              <w:ind w:left="248" w:right="0" w:firstLine="0"/>
            </w:pPr>
            <w:r>
              <w:rPr>
                <w:b/>
              </w:rPr>
              <w:t>THROUGH</w:t>
            </w:r>
            <w:r>
              <w:t xml:space="preserve"> </w:t>
            </w:r>
          </w:p>
          <w:p w:rsidR="00D170A5" w:rsidRDefault="00E00875">
            <w:pPr>
              <w:spacing w:after="0" w:line="259" w:lineRule="auto"/>
              <w:ind w:left="60" w:right="0" w:firstLine="0"/>
              <w:jc w:val="center"/>
            </w:pPr>
            <w:r>
              <w:t xml:space="preserve"> </w:t>
            </w:r>
          </w:p>
          <w:p w:rsidR="00D170A5" w:rsidRDefault="00E00875">
            <w:pPr>
              <w:spacing w:after="0" w:line="259" w:lineRule="auto"/>
              <w:ind w:left="391" w:right="0" w:firstLine="0"/>
              <w:jc w:val="center"/>
            </w:pPr>
            <w:r>
              <w:t xml:space="preserve"> </w:t>
            </w:r>
          </w:p>
        </w:tc>
      </w:tr>
      <w:tr w:rsidR="00D170A5">
        <w:trPr>
          <w:trHeight w:val="896"/>
        </w:trPr>
        <w:tc>
          <w:tcPr>
            <w:tcW w:w="3356" w:type="dxa"/>
            <w:tcBorders>
              <w:top w:val="single" w:sz="8" w:space="0" w:color="000000"/>
              <w:left w:val="single" w:sz="8" w:space="0" w:color="000000"/>
              <w:bottom w:val="single" w:sz="8" w:space="0" w:color="000000"/>
              <w:right w:val="single" w:sz="4" w:space="0" w:color="000000"/>
            </w:tcBorders>
          </w:tcPr>
          <w:p w:rsidR="00D170A5" w:rsidRDefault="00E00875">
            <w:pPr>
              <w:spacing w:after="0" w:line="259" w:lineRule="auto"/>
              <w:ind w:left="4" w:right="0" w:firstLine="0"/>
            </w:pPr>
            <w:r>
              <w:t xml:space="preserve"> </w:t>
            </w:r>
          </w:p>
          <w:p w:rsidR="00D170A5" w:rsidRDefault="00E00875">
            <w:pPr>
              <w:spacing w:after="0" w:line="259" w:lineRule="auto"/>
              <w:ind w:left="18" w:right="0" w:firstLine="0"/>
              <w:jc w:val="center"/>
            </w:pPr>
            <w:r>
              <w:rPr>
                <w:b/>
              </w:rPr>
              <w:t>NAME</w:t>
            </w:r>
            <w:r>
              <w:t xml:space="preserve"> </w:t>
            </w:r>
          </w:p>
        </w:tc>
        <w:tc>
          <w:tcPr>
            <w:tcW w:w="2742" w:type="dxa"/>
            <w:tcBorders>
              <w:top w:val="single" w:sz="8" w:space="0" w:color="000000"/>
              <w:left w:val="single" w:sz="4" w:space="0" w:color="000000"/>
              <w:bottom w:val="single" w:sz="8" w:space="0" w:color="000000"/>
              <w:right w:val="single" w:sz="8" w:space="0" w:color="000000"/>
            </w:tcBorders>
            <w:shd w:val="clear" w:color="auto" w:fill="DBDBDC"/>
          </w:tcPr>
          <w:p w:rsidR="00D170A5" w:rsidRDefault="00E00875">
            <w:pPr>
              <w:spacing w:after="0" w:line="259" w:lineRule="auto"/>
              <w:ind w:left="0" w:right="0" w:firstLine="0"/>
            </w:pPr>
            <w:r>
              <w:t xml:space="preserve"> </w:t>
            </w:r>
          </w:p>
          <w:p w:rsidR="00D170A5" w:rsidRDefault="00E00875">
            <w:pPr>
              <w:spacing w:after="0" w:line="259" w:lineRule="auto"/>
              <w:ind w:left="144" w:right="0" w:firstLine="0"/>
              <w:jc w:val="center"/>
            </w:pPr>
            <w:r>
              <w:rPr>
                <w:b/>
              </w:rPr>
              <w:t>Fringe Rate</w:t>
            </w:r>
            <w:r>
              <w:rPr>
                <w:b/>
                <w:color w:val="FF0000"/>
              </w:rPr>
              <w:t>*</w:t>
            </w:r>
            <w:r>
              <w:t xml:space="preserve"> </w:t>
            </w:r>
          </w:p>
        </w:tc>
        <w:tc>
          <w:tcPr>
            <w:tcW w:w="1471" w:type="dxa"/>
            <w:tcBorders>
              <w:top w:val="single" w:sz="4" w:space="0" w:color="000000"/>
              <w:left w:val="single" w:sz="8" w:space="0" w:color="000000"/>
              <w:bottom w:val="single" w:sz="8" w:space="0" w:color="000000"/>
              <w:right w:val="single" w:sz="4" w:space="0" w:color="000000"/>
            </w:tcBorders>
          </w:tcPr>
          <w:p w:rsidR="00D170A5" w:rsidRDefault="00E00875">
            <w:pPr>
              <w:spacing w:after="0" w:line="259" w:lineRule="auto"/>
              <w:ind w:left="8" w:right="0" w:firstLine="0"/>
            </w:pPr>
            <w:r>
              <w:t xml:space="preserve"> </w:t>
            </w:r>
          </w:p>
          <w:p w:rsidR="00D170A5" w:rsidRDefault="00E00875">
            <w:pPr>
              <w:spacing w:after="20" w:line="259" w:lineRule="auto"/>
              <w:ind w:left="0" w:right="109" w:firstLine="0"/>
              <w:jc w:val="center"/>
            </w:pPr>
            <w:r>
              <w:rPr>
                <w:b/>
                <w:sz w:val="18"/>
              </w:rPr>
              <w:t xml:space="preserve">SALARY </w:t>
            </w:r>
          </w:p>
          <w:p w:rsidR="00D170A5" w:rsidRDefault="00E00875">
            <w:pPr>
              <w:spacing w:after="0" w:line="259" w:lineRule="auto"/>
              <w:ind w:left="104" w:right="0" w:firstLine="0"/>
            </w:pPr>
            <w:r>
              <w:rPr>
                <w:b/>
                <w:sz w:val="18"/>
              </w:rPr>
              <w:t>REQUESTED</w:t>
            </w:r>
            <w:r>
              <w:t xml:space="preserve"> </w:t>
            </w:r>
          </w:p>
        </w:tc>
        <w:tc>
          <w:tcPr>
            <w:tcW w:w="1318" w:type="dxa"/>
            <w:tcBorders>
              <w:top w:val="single" w:sz="4" w:space="0" w:color="000000"/>
              <w:left w:val="single" w:sz="4" w:space="0" w:color="000000"/>
              <w:bottom w:val="single" w:sz="8" w:space="0" w:color="000000"/>
              <w:right w:val="single" w:sz="8" w:space="0" w:color="000000"/>
            </w:tcBorders>
          </w:tcPr>
          <w:p w:rsidR="00D170A5" w:rsidRDefault="00E00875">
            <w:pPr>
              <w:spacing w:after="0" w:line="259" w:lineRule="auto"/>
              <w:ind w:left="1" w:right="0" w:firstLine="0"/>
            </w:pPr>
            <w:r>
              <w:t xml:space="preserve"> </w:t>
            </w:r>
          </w:p>
          <w:p w:rsidR="00D170A5" w:rsidRDefault="00E00875">
            <w:pPr>
              <w:spacing w:after="0" w:line="259" w:lineRule="auto"/>
              <w:ind w:left="0" w:right="222" w:firstLine="0"/>
              <w:jc w:val="right"/>
            </w:pPr>
            <w:r>
              <w:rPr>
                <w:b/>
              </w:rPr>
              <w:t xml:space="preserve">FRINGE  </w:t>
            </w:r>
          </w:p>
          <w:p w:rsidR="00D170A5" w:rsidRDefault="00E00875">
            <w:pPr>
              <w:spacing w:after="0" w:line="259" w:lineRule="auto"/>
              <w:ind w:left="104" w:right="0" w:firstLine="0"/>
              <w:jc w:val="both"/>
            </w:pPr>
            <w:r>
              <w:rPr>
                <w:b/>
              </w:rPr>
              <w:t>BENEFITS</w:t>
            </w:r>
          </w:p>
          <w:p w:rsidR="00D170A5" w:rsidRDefault="00E00875">
            <w:pPr>
              <w:spacing w:after="0" w:line="259" w:lineRule="auto"/>
              <w:ind w:left="104" w:right="0" w:firstLine="0"/>
            </w:pPr>
            <w:r>
              <w:rPr>
                <w:b/>
                <w:color w:val="FF0000"/>
              </w:rPr>
              <w:t>*</w:t>
            </w:r>
            <w:r>
              <w:t xml:space="preserve"> </w:t>
            </w:r>
          </w:p>
        </w:tc>
        <w:tc>
          <w:tcPr>
            <w:tcW w:w="1567" w:type="dxa"/>
            <w:tcBorders>
              <w:top w:val="single" w:sz="4" w:space="0" w:color="000000"/>
              <w:left w:val="single" w:sz="8" w:space="0" w:color="000000"/>
              <w:bottom w:val="single" w:sz="8" w:space="0" w:color="000000"/>
              <w:right w:val="single" w:sz="8" w:space="0" w:color="000000"/>
            </w:tcBorders>
          </w:tcPr>
          <w:p w:rsidR="00D170A5" w:rsidRDefault="00E00875">
            <w:pPr>
              <w:spacing w:after="0" w:line="259" w:lineRule="auto"/>
              <w:ind w:left="8" w:right="0" w:firstLine="0"/>
            </w:pPr>
            <w:r>
              <w:t xml:space="preserve"> </w:t>
            </w:r>
          </w:p>
          <w:p w:rsidR="00D170A5" w:rsidRDefault="00E00875">
            <w:pPr>
              <w:spacing w:after="0" w:line="259" w:lineRule="auto"/>
              <w:ind w:left="121" w:right="0" w:firstLine="0"/>
            </w:pPr>
            <w:r>
              <w:rPr>
                <w:b/>
              </w:rPr>
              <w:t xml:space="preserve">  TOTAL COST</w:t>
            </w:r>
            <w:r>
              <w:t xml:space="preserve"> </w:t>
            </w:r>
          </w:p>
        </w:tc>
      </w:tr>
      <w:tr w:rsidR="00D170A5">
        <w:trPr>
          <w:trHeight w:val="271"/>
        </w:trPr>
        <w:tc>
          <w:tcPr>
            <w:tcW w:w="3356" w:type="dxa"/>
            <w:tcBorders>
              <w:top w:val="single" w:sz="8" w:space="0" w:color="000000"/>
              <w:left w:val="single" w:sz="8" w:space="0" w:color="000000"/>
              <w:bottom w:val="single" w:sz="8" w:space="0" w:color="000000"/>
              <w:right w:val="single" w:sz="4" w:space="0" w:color="000000"/>
            </w:tcBorders>
          </w:tcPr>
          <w:p w:rsidR="00D170A5" w:rsidRDefault="00E00875">
            <w:pPr>
              <w:spacing w:after="0" w:line="259" w:lineRule="auto"/>
              <w:ind w:left="4" w:right="0" w:firstLine="0"/>
            </w:pPr>
            <w:r>
              <w:t xml:space="preserve"> </w:t>
            </w:r>
          </w:p>
        </w:tc>
        <w:tc>
          <w:tcPr>
            <w:tcW w:w="2742" w:type="dxa"/>
            <w:tcBorders>
              <w:top w:val="single" w:sz="8" w:space="0" w:color="000000"/>
              <w:left w:val="single" w:sz="4" w:space="0" w:color="000000"/>
              <w:bottom w:val="single" w:sz="8" w:space="0" w:color="000000"/>
              <w:right w:val="single" w:sz="8" w:space="0" w:color="000000"/>
            </w:tcBorders>
            <w:shd w:val="clear" w:color="auto" w:fill="DBDBDC"/>
          </w:tcPr>
          <w:p w:rsidR="00D170A5" w:rsidRDefault="00E00875">
            <w:pPr>
              <w:spacing w:after="0" w:line="259" w:lineRule="auto"/>
              <w:ind w:left="0" w:right="0" w:firstLine="0"/>
            </w:pPr>
            <w:r>
              <w:t xml:space="preserve"> </w:t>
            </w:r>
          </w:p>
        </w:tc>
        <w:tc>
          <w:tcPr>
            <w:tcW w:w="1471" w:type="dxa"/>
            <w:tcBorders>
              <w:top w:val="single" w:sz="8" w:space="0" w:color="000000"/>
              <w:left w:val="single" w:sz="8" w:space="0" w:color="000000"/>
              <w:bottom w:val="single" w:sz="8" w:space="0" w:color="000000"/>
              <w:right w:val="single" w:sz="4" w:space="0" w:color="000000"/>
            </w:tcBorders>
          </w:tcPr>
          <w:p w:rsidR="00D170A5" w:rsidRDefault="00E00875">
            <w:pPr>
              <w:spacing w:after="0" w:line="259" w:lineRule="auto"/>
              <w:ind w:left="8" w:right="0" w:firstLine="0"/>
            </w:pPr>
            <w:r>
              <w:t xml:space="preserve"> </w:t>
            </w:r>
          </w:p>
        </w:tc>
        <w:tc>
          <w:tcPr>
            <w:tcW w:w="1318" w:type="dxa"/>
            <w:tcBorders>
              <w:top w:val="single" w:sz="8" w:space="0" w:color="000000"/>
              <w:left w:val="single" w:sz="4" w:space="0" w:color="000000"/>
              <w:bottom w:val="single" w:sz="8" w:space="0" w:color="000000"/>
              <w:right w:val="single" w:sz="8" w:space="0" w:color="000000"/>
            </w:tcBorders>
          </w:tcPr>
          <w:p w:rsidR="00D170A5" w:rsidRDefault="00E00875">
            <w:pPr>
              <w:spacing w:after="0" w:line="259" w:lineRule="auto"/>
              <w:ind w:left="1" w:right="0" w:firstLine="0"/>
            </w:pPr>
            <w:r>
              <w:t xml:space="preserve"> </w:t>
            </w:r>
          </w:p>
        </w:tc>
        <w:tc>
          <w:tcPr>
            <w:tcW w:w="1567" w:type="dxa"/>
            <w:tcBorders>
              <w:top w:val="single" w:sz="8" w:space="0" w:color="000000"/>
              <w:left w:val="single" w:sz="8" w:space="0" w:color="000000"/>
              <w:bottom w:val="single" w:sz="8" w:space="0" w:color="000000"/>
              <w:right w:val="single" w:sz="8" w:space="0" w:color="000000"/>
            </w:tcBorders>
          </w:tcPr>
          <w:p w:rsidR="00D170A5" w:rsidRDefault="00E00875">
            <w:pPr>
              <w:spacing w:after="0" w:line="259" w:lineRule="auto"/>
              <w:ind w:left="8" w:right="0" w:firstLine="0"/>
            </w:pPr>
            <w:r>
              <w:t xml:space="preserve"> </w:t>
            </w:r>
          </w:p>
        </w:tc>
      </w:tr>
      <w:tr w:rsidR="00DD0D3A">
        <w:trPr>
          <w:trHeight w:val="271"/>
        </w:trPr>
        <w:tc>
          <w:tcPr>
            <w:tcW w:w="3356" w:type="dxa"/>
            <w:tcBorders>
              <w:top w:val="single" w:sz="8" w:space="0" w:color="000000"/>
              <w:left w:val="single" w:sz="8" w:space="0" w:color="000000"/>
              <w:bottom w:val="single" w:sz="8" w:space="0" w:color="000000"/>
              <w:right w:val="single" w:sz="4" w:space="0" w:color="000000"/>
            </w:tcBorders>
          </w:tcPr>
          <w:p w:rsidR="00DD0D3A" w:rsidRDefault="00DD0D3A">
            <w:pPr>
              <w:spacing w:after="0" w:line="259" w:lineRule="auto"/>
              <w:ind w:left="4" w:right="0" w:firstLine="0"/>
            </w:pPr>
          </w:p>
        </w:tc>
        <w:tc>
          <w:tcPr>
            <w:tcW w:w="2742" w:type="dxa"/>
            <w:tcBorders>
              <w:top w:val="single" w:sz="8" w:space="0" w:color="000000"/>
              <w:left w:val="single" w:sz="4" w:space="0" w:color="000000"/>
              <w:bottom w:val="single" w:sz="8" w:space="0" w:color="000000"/>
              <w:right w:val="single" w:sz="8" w:space="0" w:color="000000"/>
            </w:tcBorders>
            <w:shd w:val="clear" w:color="auto" w:fill="DBDBDC"/>
          </w:tcPr>
          <w:p w:rsidR="00DD0D3A" w:rsidRDefault="00DD0D3A">
            <w:pPr>
              <w:spacing w:after="0" w:line="259" w:lineRule="auto"/>
              <w:ind w:left="0" w:right="0" w:firstLine="0"/>
            </w:pPr>
          </w:p>
        </w:tc>
        <w:tc>
          <w:tcPr>
            <w:tcW w:w="1471" w:type="dxa"/>
            <w:tcBorders>
              <w:top w:val="single" w:sz="8" w:space="0" w:color="000000"/>
              <w:left w:val="single" w:sz="8" w:space="0" w:color="000000"/>
              <w:bottom w:val="single" w:sz="8" w:space="0" w:color="000000"/>
              <w:right w:val="single" w:sz="4" w:space="0" w:color="000000"/>
            </w:tcBorders>
          </w:tcPr>
          <w:p w:rsidR="00DD0D3A" w:rsidRDefault="00DD0D3A">
            <w:pPr>
              <w:spacing w:after="0" w:line="259" w:lineRule="auto"/>
              <w:ind w:left="8" w:right="0" w:firstLine="0"/>
            </w:pPr>
          </w:p>
        </w:tc>
        <w:tc>
          <w:tcPr>
            <w:tcW w:w="1318" w:type="dxa"/>
            <w:tcBorders>
              <w:top w:val="single" w:sz="8" w:space="0" w:color="000000"/>
              <w:left w:val="single" w:sz="4" w:space="0" w:color="000000"/>
              <w:bottom w:val="single" w:sz="8" w:space="0" w:color="000000"/>
              <w:right w:val="single" w:sz="8" w:space="0" w:color="000000"/>
            </w:tcBorders>
          </w:tcPr>
          <w:p w:rsidR="00DD0D3A" w:rsidRDefault="00DD0D3A">
            <w:pPr>
              <w:spacing w:after="0" w:line="259" w:lineRule="auto"/>
              <w:ind w:left="1" w:right="0" w:firstLine="0"/>
            </w:pPr>
          </w:p>
        </w:tc>
        <w:tc>
          <w:tcPr>
            <w:tcW w:w="1567" w:type="dxa"/>
            <w:tcBorders>
              <w:top w:val="single" w:sz="8" w:space="0" w:color="000000"/>
              <w:left w:val="single" w:sz="8" w:space="0" w:color="000000"/>
              <w:bottom w:val="single" w:sz="8" w:space="0" w:color="000000"/>
              <w:right w:val="single" w:sz="8" w:space="0" w:color="000000"/>
            </w:tcBorders>
          </w:tcPr>
          <w:p w:rsidR="00DD0D3A" w:rsidRDefault="00DD0D3A">
            <w:pPr>
              <w:spacing w:after="0" w:line="259" w:lineRule="auto"/>
              <w:ind w:left="8" w:right="0" w:firstLine="0"/>
            </w:pPr>
          </w:p>
        </w:tc>
      </w:tr>
      <w:tr w:rsidR="00D170A5">
        <w:trPr>
          <w:trHeight w:val="528"/>
        </w:trPr>
        <w:tc>
          <w:tcPr>
            <w:tcW w:w="10454" w:type="dxa"/>
            <w:gridSpan w:val="5"/>
            <w:tcBorders>
              <w:top w:val="single" w:sz="8" w:space="0" w:color="000000"/>
              <w:left w:val="single" w:sz="8" w:space="0" w:color="000000"/>
              <w:bottom w:val="single" w:sz="4" w:space="0" w:color="000000"/>
              <w:right w:val="single" w:sz="8" w:space="0" w:color="000000"/>
            </w:tcBorders>
          </w:tcPr>
          <w:p w:rsidR="00D170A5" w:rsidRDefault="00E00875">
            <w:pPr>
              <w:spacing w:after="0" w:line="259" w:lineRule="auto"/>
              <w:ind w:left="4775" w:right="0" w:hanging="4685"/>
              <w:jc w:val="both"/>
            </w:pPr>
            <w:r>
              <w:rPr>
                <w:i/>
                <w:color w:val="FF0000"/>
              </w:rPr>
              <w:t>*</w:t>
            </w:r>
            <w:r>
              <w:rPr>
                <w:i/>
              </w:rPr>
              <w:t>Not to exceed fringe allowable rate from applicant’s institution; Must provide institutional documentation of fringe rate</w:t>
            </w:r>
            <w:r>
              <w:t xml:space="preserve"> </w:t>
            </w:r>
          </w:p>
        </w:tc>
      </w:tr>
      <w:tr w:rsidR="00D170A5">
        <w:trPr>
          <w:trHeight w:val="574"/>
        </w:trPr>
        <w:tc>
          <w:tcPr>
            <w:tcW w:w="8887" w:type="dxa"/>
            <w:gridSpan w:val="4"/>
            <w:tcBorders>
              <w:top w:val="single" w:sz="4" w:space="0" w:color="000000"/>
              <w:left w:val="single" w:sz="8" w:space="0" w:color="000000"/>
              <w:bottom w:val="single" w:sz="8" w:space="0" w:color="000000"/>
              <w:right w:val="single" w:sz="8" w:space="0" w:color="000000"/>
            </w:tcBorders>
          </w:tcPr>
          <w:p w:rsidR="00D170A5" w:rsidRDefault="00E00875">
            <w:pPr>
              <w:spacing w:after="35" w:line="259" w:lineRule="auto"/>
              <w:ind w:left="4" w:right="327" w:firstLine="0"/>
            </w:pPr>
            <w:r>
              <w:rPr>
                <w:noProof/>
              </w:rPr>
              <w:drawing>
                <wp:anchor distT="0" distB="0" distL="114300" distR="114300" simplePos="0" relativeHeight="251658240" behindDoc="0" locked="0" layoutInCell="1" allowOverlap="0">
                  <wp:simplePos x="0" y="0"/>
                  <wp:positionH relativeFrom="column">
                    <wp:posOffset>3765873</wp:posOffset>
                  </wp:positionH>
                  <wp:positionV relativeFrom="paragraph">
                    <wp:posOffset>164516</wp:posOffset>
                  </wp:positionV>
                  <wp:extent cx="1670050" cy="254000"/>
                  <wp:effectExtent l="0" t="0" r="0" b="0"/>
                  <wp:wrapSquare wrapText="bothSides"/>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5"/>
                          <a:stretch>
                            <a:fillRect/>
                          </a:stretch>
                        </pic:blipFill>
                        <pic:spPr>
                          <a:xfrm>
                            <a:off x="0" y="0"/>
                            <a:ext cx="1670050" cy="254000"/>
                          </a:xfrm>
                          <a:prstGeom prst="rect">
                            <a:avLst/>
                          </a:prstGeom>
                        </pic:spPr>
                      </pic:pic>
                    </a:graphicData>
                  </a:graphic>
                </wp:anchor>
              </w:drawing>
            </w:r>
            <w:r>
              <w:t xml:space="preserve"> </w:t>
            </w:r>
          </w:p>
          <w:p w:rsidR="00D170A5" w:rsidRDefault="00E00875">
            <w:pPr>
              <w:tabs>
                <w:tab w:val="center" w:pos="4720"/>
                <w:tab w:val="center" w:pos="8552"/>
              </w:tabs>
              <w:spacing w:after="0" w:line="259" w:lineRule="auto"/>
              <w:ind w:left="0" w:right="0" w:firstLine="0"/>
            </w:pPr>
            <w:r>
              <w:rPr>
                <w:rFonts w:ascii="Calibri" w:eastAsia="Calibri" w:hAnsi="Calibri" w:cs="Calibri"/>
              </w:rPr>
              <w:tab/>
            </w:r>
            <w:r>
              <w:rPr>
                <w:b/>
              </w:rPr>
              <w:t xml:space="preserve">SALARY SUBTOTAL  </w:t>
            </w:r>
            <w:r>
              <w:rPr>
                <w:b/>
              </w:rPr>
              <w:tab/>
            </w:r>
            <w:r>
              <w:t xml:space="preserve"> </w:t>
            </w:r>
          </w:p>
        </w:tc>
        <w:tc>
          <w:tcPr>
            <w:tcW w:w="1567" w:type="dxa"/>
            <w:tcBorders>
              <w:top w:val="single" w:sz="4" w:space="0" w:color="000000"/>
              <w:left w:val="single" w:sz="8" w:space="0" w:color="000000"/>
              <w:bottom w:val="single" w:sz="8" w:space="0" w:color="000000"/>
              <w:right w:val="single" w:sz="8" w:space="0" w:color="000000"/>
            </w:tcBorders>
          </w:tcPr>
          <w:p w:rsidR="00D170A5" w:rsidRDefault="00E00875">
            <w:pPr>
              <w:spacing w:after="0" w:line="259" w:lineRule="auto"/>
              <w:ind w:left="8" w:right="0" w:firstLine="0"/>
            </w:pPr>
            <w:r>
              <w:t xml:space="preserve"> </w:t>
            </w:r>
          </w:p>
          <w:p w:rsidR="00D170A5" w:rsidRDefault="00E00875">
            <w:pPr>
              <w:spacing w:after="0" w:line="259" w:lineRule="auto"/>
              <w:ind w:left="152" w:right="0" w:firstLine="0"/>
            </w:pPr>
            <w:r>
              <w:t xml:space="preserve">$ </w:t>
            </w:r>
          </w:p>
        </w:tc>
      </w:tr>
      <w:tr w:rsidR="00D170A5" w:rsidTr="00196191">
        <w:trPr>
          <w:trHeight w:val="4021"/>
        </w:trPr>
        <w:tc>
          <w:tcPr>
            <w:tcW w:w="8887" w:type="dxa"/>
            <w:gridSpan w:val="4"/>
            <w:tcBorders>
              <w:top w:val="single" w:sz="8" w:space="0" w:color="000000"/>
              <w:left w:val="single" w:sz="8" w:space="0" w:color="000000"/>
              <w:bottom w:val="single" w:sz="4" w:space="0" w:color="000000"/>
              <w:right w:val="single" w:sz="8" w:space="0" w:color="000000"/>
            </w:tcBorders>
          </w:tcPr>
          <w:p w:rsidR="00D170A5" w:rsidRDefault="00E00875">
            <w:pPr>
              <w:spacing w:after="0" w:line="259" w:lineRule="auto"/>
              <w:ind w:left="100" w:right="0" w:firstLine="0"/>
            </w:pPr>
            <w:r>
              <w:t xml:space="preserve">RESEARCH EXPENSES </w:t>
            </w:r>
            <w:r>
              <w:rPr>
                <w:i/>
              </w:rPr>
              <w:t xml:space="preserve">(Itemize by category) ** </w:t>
            </w:r>
          </w:p>
          <w:p w:rsidR="00D170A5" w:rsidRDefault="00E00875">
            <w:pPr>
              <w:spacing w:after="2" w:line="259" w:lineRule="auto"/>
              <w:ind w:left="100" w:right="0" w:firstLine="0"/>
            </w:pPr>
            <w:r>
              <w:t xml:space="preserve"> </w:t>
            </w:r>
          </w:p>
          <w:p w:rsidR="00D170A5" w:rsidRDefault="00E00875">
            <w:pPr>
              <w:spacing w:after="0" w:line="259" w:lineRule="auto"/>
              <w:ind w:left="100" w:right="0" w:firstLine="0"/>
            </w:pPr>
            <w:r>
              <w:t xml:space="preserve">CONSULTANT COSTS </w:t>
            </w:r>
          </w:p>
          <w:p w:rsidR="00D170A5" w:rsidRDefault="00E00875">
            <w:pPr>
              <w:spacing w:after="0" w:line="259" w:lineRule="auto"/>
              <w:ind w:left="100" w:right="0" w:firstLine="0"/>
            </w:pPr>
            <w:r>
              <w:t xml:space="preserve"> </w:t>
            </w:r>
          </w:p>
          <w:p w:rsidR="00D170A5" w:rsidRDefault="00E00875">
            <w:pPr>
              <w:spacing w:after="0" w:line="259" w:lineRule="auto"/>
              <w:ind w:left="100" w:right="0" w:firstLine="0"/>
            </w:pPr>
            <w:r>
              <w:t xml:space="preserve">EQUIPMENT </w:t>
            </w:r>
          </w:p>
          <w:p w:rsidR="00D170A5" w:rsidRDefault="00E00875">
            <w:pPr>
              <w:spacing w:after="0" w:line="259" w:lineRule="auto"/>
              <w:ind w:left="100" w:right="8723" w:firstLine="0"/>
            </w:pPr>
            <w:r>
              <w:t xml:space="preserve">  </w:t>
            </w:r>
          </w:p>
          <w:p w:rsidR="00D170A5" w:rsidRDefault="00E00875">
            <w:pPr>
              <w:spacing w:after="2" w:line="259" w:lineRule="auto"/>
              <w:ind w:left="100" w:right="0" w:firstLine="0"/>
            </w:pPr>
            <w:r>
              <w:t xml:space="preserve">SUPPLIES </w:t>
            </w:r>
          </w:p>
          <w:p w:rsidR="00D170A5" w:rsidRDefault="00E00875">
            <w:pPr>
              <w:spacing w:after="0" w:line="259" w:lineRule="auto"/>
              <w:ind w:left="100" w:right="8723" w:firstLine="0"/>
            </w:pPr>
            <w:r>
              <w:t xml:space="preserve">  </w:t>
            </w:r>
          </w:p>
          <w:p w:rsidR="00D170A5" w:rsidRDefault="00E00875">
            <w:pPr>
              <w:spacing w:after="0" w:line="259" w:lineRule="auto"/>
              <w:ind w:left="100" w:right="0" w:firstLine="0"/>
            </w:pPr>
            <w:r>
              <w:t xml:space="preserve">TRAVEL </w:t>
            </w:r>
          </w:p>
          <w:p w:rsidR="00D170A5" w:rsidRDefault="00E00875">
            <w:pPr>
              <w:spacing w:after="0" w:line="259" w:lineRule="auto"/>
              <w:ind w:left="100" w:right="0" w:firstLine="0"/>
            </w:pPr>
            <w:r>
              <w:t xml:space="preserve"> </w:t>
            </w:r>
          </w:p>
          <w:p w:rsidR="00D170A5" w:rsidRDefault="00E00875">
            <w:pPr>
              <w:spacing w:after="0" w:line="259" w:lineRule="auto"/>
              <w:ind w:left="100" w:right="0" w:firstLine="0"/>
            </w:pPr>
            <w:r>
              <w:t xml:space="preserve">OTHER EXPENSES  </w:t>
            </w:r>
          </w:p>
          <w:p w:rsidR="00D170A5" w:rsidRDefault="00E00875">
            <w:pPr>
              <w:spacing w:after="0" w:line="259" w:lineRule="auto"/>
              <w:ind w:left="4" w:right="0" w:firstLine="0"/>
            </w:pPr>
            <w:r>
              <w:t xml:space="preserve"> </w:t>
            </w:r>
          </w:p>
          <w:p w:rsidR="00D170A5" w:rsidRDefault="00E00875">
            <w:pPr>
              <w:spacing w:after="0" w:line="259" w:lineRule="auto"/>
              <w:ind w:left="4" w:right="0" w:firstLine="0"/>
            </w:pPr>
            <w:r>
              <w:t xml:space="preserve"> </w:t>
            </w:r>
          </w:p>
          <w:p w:rsidR="00D170A5" w:rsidRDefault="00E00875">
            <w:pPr>
              <w:spacing w:after="0" w:line="259" w:lineRule="auto"/>
              <w:ind w:left="100" w:right="0" w:firstLine="0"/>
            </w:pPr>
            <w:r>
              <w:t xml:space="preserve">BUDGET JUSTIFICATION: </w:t>
            </w:r>
          </w:p>
        </w:tc>
        <w:tc>
          <w:tcPr>
            <w:tcW w:w="1567" w:type="dxa"/>
            <w:tcBorders>
              <w:top w:val="single" w:sz="8" w:space="0" w:color="000000"/>
              <w:left w:val="single" w:sz="8" w:space="0" w:color="000000"/>
              <w:bottom w:val="single" w:sz="4" w:space="0" w:color="000000"/>
              <w:right w:val="single" w:sz="8" w:space="0" w:color="000000"/>
            </w:tcBorders>
          </w:tcPr>
          <w:p w:rsidR="00D170A5" w:rsidRDefault="00E00875">
            <w:pPr>
              <w:spacing w:after="0" w:line="259" w:lineRule="auto"/>
              <w:ind w:left="60" w:right="0" w:firstLine="0"/>
              <w:jc w:val="center"/>
            </w:pPr>
            <w:r>
              <w:t xml:space="preserve"> </w:t>
            </w:r>
          </w:p>
        </w:tc>
      </w:tr>
      <w:tr w:rsidR="00D170A5">
        <w:trPr>
          <w:trHeight w:val="658"/>
        </w:trPr>
        <w:tc>
          <w:tcPr>
            <w:tcW w:w="8887" w:type="dxa"/>
            <w:gridSpan w:val="4"/>
            <w:tcBorders>
              <w:top w:val="single" w:sz="4" w:space="0" w:color="000000"/>
              <w:left w:val="single" w:sz="8" w:space="0" w:color="000000"/>
              <w:bottom w:val="single" w:sz="8" w:space="0" w:color="000000"/>
              <w:right w:val="single" w:sz="8" w:space="0" w:color="000000"/>
            </w:tcBorders>
          </w:tcPr>
          <w:p w:rsidR="00D170A5" w:rsidRDefault="00E00875">
            <w:pPr>
              <w:spacing w:after="0" w:line="259" w:lineRule="auto"/>
              <w:ind w:left="4" w:right="0" w:firstLine="0"/>
            </w:pPr>
            <w:r>
              <w:t xml:space="preserve"> </w:t>
            </w:r>
          </w:p>
          <w:p w:rsidR="00D170A5" w:rsidRDefault="00E00875">
            <w:pPr>
              <w:spacing w:after="0" w:line="259" w:lineRule="auto"/>
              <w:ind w:left="4" w:right="0" w:firstLine="0"/>
            </w:pPr>
            <w:r>
              <w:t xml:space="preserve"> </w:t>
            </w:r>
          </w:p>
          <w:p w:rsidR="00D170A5" w:rsidRDefault="00E00875">
            <w:pPr>
              <w:spacing w:after="0" w:line="259" w:lineRule="auto"/>
              <w:ind w:left="1204" w:right="0" w:firstLine="0"/>
            </w:pPr>
            <w:r>
              <w:t xml:space="preserve">OTHER EXPENSES SUBTOTAL  </w:t>
            </w:r>
            <w:r>
              <w:rPr>
                <w:rFonts w:ascii="Calibri" w:eastAsia="Calibri" w:hAnsi="Calibri" w:cs="Calibri"/>
                <w:noProof/>
              </w:rPr>
              <mc:AlternateContent>
                <mc:Choice Requires="wpg">
                  <w:drawing>
                    <wp:inline distT="0" distB="0" distL="0" distR="0">
                      <wp:extent cx="2847976" cy="76200"/>
                      <wp:effectExtent l="0" t="0" r="0" b="0"/>
                      <wp:docPr id="9490" name="Group 9490"/>
                      <wp:cNvGraphicFramePr/>
                      <a:graphic xmlns:a="http://schemas.openxmlformats.org/drawingml/2006/main">
                        <a:graphicData uri="http://schemas.microsoft.com/office/word/2010/wordprocessingGroup">
                          <wpg:wgp>
                            <wpg:cNvGrpSpPr/>
                            <wpg:grpSpPr>
                              <a:xfrm>
                                <a:off x="0" y="0"/>
                                <a:ext cx="2847976" cy="76200"/>
                                <a:chOff x="0" y="0"/>
                                <a:chExt cx="2847976" cy="76200"/>
                              </a:xfrm>
                            </wpg:grpSpPr>
                            <wps:wsp>
                              <wps:cNvPr id="755" name="Shape 755"/>
                              <wps:cNvSpPr/>
                              <wps:spPr>
                                <a:xfrm>
                                  <a:off x="0" y="38103"/>
                                  <a:ext cx="2784475" cy="0"/>
                                </a:xfrm>
                                <a:custGeom>
                                  <a:avLst/>
                                  <a:gdLst/>
                                  <a:ahLst/>
                                  <a:cxnLst/>
                                  <a:rect l="0" t="0" r="0" b="0"/>
                                  <a:pathLst>
                                    <a:path w="2784475">
                                      <a:moveTo>
                                        <a:pt x="0" y="0"/>
                                      </a:moveTo>
                                      <a:lnTo>
                                        <a:pt x="278447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56" name="Shape 756"/>
                              <wps:cNvSpPr/>
                              <wps:spPr>
                                <a:xfrm>
                                  <a:off x="2771776" y="0"/>
                                  <a:ext cx="76200" cy="76200"/>
                                </a:xfrm>
                                <a:custGeom>
                                  <a:avLst/>
                                  <a:gdLst/>
                                  <a:ahLst/>
                                  <a:cxnLst/>
                                  <a:rect l="0" t="0" r="0" b="0"/>
                                  <a:pathLst>
                                    <a:path w="76200" h="76200">
                                      <a:moveTo>
                                        <a:pt x="0" y="0"/>
                                      </a:moveTo>
                                      <a:lnTo>
                                        <a:pt x="76200" y="38100"/>
                                      </a:lnTo>
                                      <a:lnTo>
                                        <a:pt x="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A4C146" id="Group 9490" o:spid="_x0000_s1026" style="width:224.25pt;height:6pt;mso-position-horizontal-relative:char;mso-position-vertical-relative:line" coordsize="28479,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">
                      <v:shape id="Shape 755" o:spid="_x0000_s1027" style="position:absolute;top:381;width:27844;height:0;visibility:visible;mso-wrap-style:square;v-text-anchor:top" coordsize="278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" path="m,l2784475,e" filled="f">
                        <v:path arrowok="t" textboxrect="0,0,2784475,0"/>
                      </v:shape>
                      <v:shape id="Shape 756" o:spid="_x0000_s1028" style="position:absolute;left:2771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" path="m,l76200,38100,,76200,,xe" fillcolor="black" stroked="f" strokeweight="0">
                        <v:path arrowok="t" textboxrect="0,0,76200,76200"/>
                      </v:shape>
                      <w10:anchorlock/>
                    </v:group>
                  </w:pict>
                </mc:Fallback>
              </mc:AlternateContent>
            </w:r>
            <w:r>
              <w:t xml:space="preserve"> </w:t>
            </w:r>
          </w:p>
        </w:tc>
        <w:tc>
          <w:tcPr>
            <w:tcW w:w="1567" w:type="dxa"/>
            <w:tcBorders>
              <w:top w:val="single" w:sz="4" w:space="0" w:color="000000"/>
              <w:left w:val="single" w:sz="8" w:space="0" w:color="000000"/>
              <w:bottom w:val="single" w:sz="8" w:space="0" w:color="000000"/>
              <w:right w:val="single" w:sz="8" w:space="0" w:color="000000"/>
            </w:tcBorders>
          </w:tcPr>
          <w:p w:rsidR="00D170A5" w:rsidRDefault="00E00875">
            <w:pPr>
              <w:spacing w:after="0" w:line="259" w:lineRule="auto"/>
              <w:ind w:left="8" w:right="0" w:firstLine="0"/>
            </w:pPr>
            <w:r>
              <w:t xml:space="preserve"> </w:t>
            </w:r>
          </w:p>
          <w:p w:rsidR="00D170A5" w:rsidRDefault="00E00875">
            <w:pPr>
              <w:spacing w:after="0" w:line="259" w:lineRule="auto"/>
              <w:ind w:left="152" w:right="0" w:firstLine="0"/>
            </w:pPr>
            <w:r>
              <w:t xml:space="preserve">$ </w:t>
            </w:r>
          </w:p>
        </w:tc>
      </w:tr>
      <w:tr w:rsidR="00D170A5">
        <w:trPr>
          <w:trHeight w:val="634"/>
        </w:trPr>
        <w:tc>
          <w:tcPr>
            <w:tcW w:w="8887" w:type="dxa"/>
            <w:gridSpan w:val="4"/>
            <w:tcBorders>
              <w:top w:val="single" w:sz="8" w:space="0" w:color="000000"/>
              <w:left w:val="single" w:sz="8" w:space="0" w:color="000000"/>
              <w:bottom w:val="single" w:sz="8" w:space="0" w:color="000000"/>
              <w:right w:val="single" w:sz="8" w:space="0" w:color="000000"/>
            </w:tcBorders>
          </w:tcPr>
          <w:p w:rsidR="00D170A5" w:rsidRDefault="00E00875">
            <w:pPr>
              <w:spacing w:after="0" w:line="259" w:lineRule="auto"/>
              <w:ind w:left="4" w:right="0" w:firstLine="0"/>
            </w:pPr>
            <w:r>
              <w:t xml:space="preserve"> </w:t>
            </w:r>
          </w:p>
          <w:p w:rsidR="00D170A5" w:rsidRDefault="00E00875" w:rsidP="008508AF">
            <w:pPr>
              <w:spacing w:after="0" w:line="259" w:lineRule="auto"/>
              <w:ind w:left="0" w:right="256" w:firstLine="0"/>
              <w:jc w:val="center"/>
            </w:pPr>
            <w:r>
              <w:rPr>
                <w:b/>
              </w:rPr>
              <w:t>TOTAL DIRECT COSTS FOR</w:t>
            </w:r>
            <w:r w:rsidR="00B663C3">
              <w:rPr>
                <w:b/>
              </w:rPr>
              <w:t xml:space="preserve"> BUDGET PERIOD (NOT TO EXCEED $5</w:t>
            </w:r>
            <w:r>
              <w:rPr>
                <w:b/>
              </w:rPr>
              <w:t>0,000</w:t>
            </w:r>
            <w:r w:rsidR="00B663C3">
              <w:rPr>
                <w:b/>
              </w:rPr>
              <w:t xml:space="preserve"> FOR THE PROJECT AWARD OR $</w:t>
            </w:r>
            <w:r w:rsidR="008508AF">
              <w:rPr>
                <w:b/>
              </w:rPr>
              <w:t>2,500</w:t>
            </w:r>
            <w:r w:rsidR="00B663C3">
              <w:rPr>
                <w:b/>
              </w:rPr>
              <w:t xml:space="preserve"> FOR THE PLANNING AWARD</w:t>
            </w:r>
            <w:r>
              <w:rPr>
                <w:b/>
              </w:rPr>
              <w:t>)</w:t>
            </w:r>
            <w:r>
              <w:t xml:space="preserve"> </w:t>
            </w:r>
          </w:p>
        </w:tc>
        <w:tc>
          <w:tcPr>
            <w:tcW w:w="1567" w:type="dxa"/>
            <w:tcBorders>
              <w:top w:val="single" w:sz="8" w:space="0" w:color="000000"/>
              <w:left w:val="single" w:sz="8" w:space="0" w:color="000000"/>
              <w:bottom w:val="single" w:sz="8" w:space="0" w:color="000000"/>
              <w:right w:val="single" w:sz="8" w:space="0" w:color="000000"/>
            </w:tcBorders>
          </w:tcPr>
          <w:p w:rsidR="00D170A5" w:rsidRDefault="00E00875">
            <w:pPr>
              <w:spacing w:after="0" w:line="259" w:lineRule="auto"/>
              <w:ind w:left="8" w:right="0" w:firstLine="0"/>
            </w:pPr>
            <w:r>
              <w:t xml:space="preserve"> </w:t>
            </w:r>
          </w:p>
          <w:p w:rsidR="00D170A5" w:rsidRPr="00B663C3" w:rsidRDefault="00E00875">
            <w:pPr>
              <w:spacing w:after="0" w:line="259" w:lineRule="auto"/>
              <w:ind w:left="152" w:right="0" w:firstLine="0"/>
            </w:pPr>
            <w:r w:rsidRPr="00B663C3">
              <w:t xml:space="preserve">$ </w:t>
            </w:r>
          </w:p>
        </w:tc>
      </w:tr>
      <w:tr w:rsidR="00D170A5" w:rsidTr="0019546E">
        <w:trPr>
          <w:trHeight w:val="2041"/>
        </w:trPr>
        <w:tc>
          <w:tcPr>
            <w:tcW w:w="10454" w:type="dxa"/>
            <w:gridSpan w:val="5"/>
            <w:tcBorders>
              <w:top w:val="single" w:sz="8" w:space="0" w:color="000000"/>
              <w:left w:val="single" w:sz="8" w:space="0" w:color="000000"/>
              <w:bottom w:val="single" w:sz="8" w:space="0" w:color="000000"/>
              <w:right w:val="single" w:sz="8" w:space="0" w:color="000000"/>
            </w:tcBorders>
            <w:shd w:val="clear" w:color="auto" w:fill="DBDBDC"/>
          </w:tcPr>
          <w:p w:rsidR="00D170A5" w:rsidRPr="00B13AFB" w:rsidRDefault="00E00875" w:rsidP="006A47D8">
            <w:pPr>
              <w:spacing w:after="0" w:line="216" w:lineRule="auto"/>
              <w:ind w:left="100" w:right="0" w:firstLine="0"/>
              <w:rPr>
                <w:color w:val="C00000"/>
              </w:rPr>
            </w:pPr>
            <w:r w:rsidRPr="00B13AFB">
              <w:rPr>
                <w:i/>
                <w:color w:val="C00000"/>
              </w:rPr>
              <w:t>Applications must include an itemized budget</w:t>
            </w:r>
            <w:r w:rsidR="0014747C" w:rsidRPr="00B13AFB">
              <w:rPr>
                <w:i/>
                <w:color w:val="C00000"/>
              </w:rPr>
              <w:t xml:space="preserve"> and budget</w:t>
            </w:r>
            <w:r w:rsidRPr="00B13AFB">
              <w:rPr>
                <w:i/>
                <w:color w:val="C00000"/>
              </w:rPr>
              <w:t xml:space="preserve"> </w:t>
            </w:r>
            <w:r w:rsidR="0014747C" w:rsidRPr="00B13AFB">
              <w:rPr>
                <w:i/>
                <w:color w:val="C00000"/>
              </w:rPr>
              <w:t xml:space="preserve">justification. </w:t>
            </w:r>
            <w:r w:rsidRPr="00B13AFB">
              <w:rPr>
                <w:i/>
                <w:color w:val="C00000"/>
              </w:rPr>
              <w:t xml:space="preserve">Allowable costs include the </w:t>
            </w:r>
            <w:r w:rsidR="006A47D8" w:rsidRPr="00B13AFB">
              <w:rPr>
                <w:i/>
                <w:color w:val="C00000"/>
              </w:rPr>
              <w:t>following types of expenses:</w:t>
            </w:r>
            <w:r w:rsidRPr="00B13AFB">
              <w:rPr>
                <w:i/>
                <w:color w:val="C00000"/>
              </w:rPr>
              <w:t xml:space="preserve"> research supplies, equipme</w:t>
            </w:r>
            <w:r w:rsidR="006A47D8" w:rsidRPr="00B13AFB">
              <w:rPr>
                <w:i/>
                <w:color w:val="C00000"/>
              </w:rPr>
              <w:t>nt, technical personnel, travel, and consulting, participant reimbursement.</w:t>
            </w:r>
            <w:r w:rsidRPr="00B13AFB">
              <w:rPr>
                <w:i/>
                <w:color w:val="C00000"/>
              </w:rPr>
              <w:t xml:space="preserve"> These funds may not be used for sa</w:t>
            </w:r>
            <w:r w:rsidR="006A47D8" w:rsidRPr="00B13AFB">
              <w:rPr>
                <w:i/>
                <w:color w:val="C00000"/>
              </w:rPr>
              <w:t>lary support for administrative personnel</w:t>
            </w:r>
            <w:r w:rsidRPr="00B13AFB">
              <w:rPr>
                <w:i/>
                <w:color w:val="C00000"/>
              </w:rPr>
              <w:t xml:space="preserve">. Funds may not be used for foreign travel or to support construction/renovations. Although stipends for graduate students and post-doctoral trainees are not allowed, wages and salary support is allowed.  </w:t>
            </w:r>
          </w:p>
          <w:p w:rsidR="006A47D8" w:rsidRPr="00B13AFB" w:rsidRDefault="006A47D8" w:rsidP="006A47D8">
            <w:pPr>
              <w:spacing w:after="0" w:line="259" w:lineRule="auto"/>
              <w:ind w:left="100" w:right="0" w:firstLine="0"/>
              <w:rPr>
                <w:i/>
                <w:color w:val="C00000"/>
              </w:rPr>
            </w:pPr>
          </w:p>
          <w:p w:rsidR="00D170A5" w:rsidRPr="006A47D8" w:rsidRDefault="006A47D8" w:rsidP="006A47D8">
            <w:pPr>
              <w:spacing w:after="0" w:line="259" w:lineRule="auto"/>
              <w:ind w:left="100" w:right="0" w:firstLine="0"/>
              <w:rPr>
                <w:color w:val="FF0000"/>
              </w:rPr>
            </w:pPr>
            <w:r w:rsidRPr="00B13AFB">
              <w:rPr>
                <w:i/>
                <w:color w:val="C00000"/>
              </w:rPr>
              <w:t>For questions concerning the budget or budget justification, contact Melissa Welch-Lazoritz at m.welchlazoritz@unmc.edu</w:t>
            </w:r>
            <w:r w:rsidR="00E00875" w:rsidRPr="00B13AFB">
              <w:rPr>
                <w:i/>
                <w:color w:val="C00000"/>
              </w:rPr>
              <w:t xml:space="preserve"> </w:t>
            </w:r>
          </w:p>
        </w:tc>
      </w:tr>
      <w:tr w:rsidR="00211ED6" w:rsidTr="00211ED6">
        <w:trPr>
          <w:trHeight w:val="1056"/>
        </w:trPr>
        <w:tc>
          <w:tcPr>
            <w:tcW w:w="10454" w:type="dxa"/>
            <w:gridSpan w:val="5"/>
            <w:tcBorders>
              <w:top w:val="single" w:sz="8" w:space="0" w:color="000000"/>
              <w:left w:val="single" w:sz="8" w:space="0" w:color="000000"/>
              <w:bottom w:val="single" w:sz="8" w:space="0" w:color="000000"/>
              <w:right w:val="single" w:sz="8" w:space="0" w:color="000000"/>
            </w:tcBorders>
            <w:shd w:val="clear" w:color="auto" w:fill="auto"/>
          </w:tcPr>
          <w:p w:rsidR="00211ED6" w:rsidRDefault="00211ED6" w:rsidP="00211ED6">
            <w:pPr>
              <w:spacing w:after="0" w:line="259" w:lineRule="auto"/>
              <w:ind w:left="1" w:right="0" w:firstLine="0"/>
              <w:jc w:val="both"/>
              <w:rPr>
                <w:b/>
              </w:rPr>
            </w:pPr>
            <w:r>
              <w:rPr>
                <w:b/>
              </w:rPr>
              <w:t xml:space="preserve">Institutional F&amp;A Rate: </w:t>
            </w:r>
            <w:r>
              <w:rPr>
                <w:b/>
              </w:rPr>
              <w:tab/>
            </w:r>
            <w:r>
              <w:rPr>
                <w:b/>
              </w:rPr>
              <w:tab/>
            </w:r>
            <w:r>
              <w:rPr>
                <w:b/>
              </w:rPr>
              <w:tab/>
            </w:r>
            <w:r>
              <w:rPr>
                <w:b/>
              </w:rPr>
              <w:tab/>
            </w:r>
            <w:r>
              <w:rPr>
                <w:b/>
              </w:rPr>
              <w:tab/>
            </w:r>
            <w:r>
              <w:rPr>
                <w:b/>
              </w:rPr>
              <w:tab/>
            </w:r>
            <w:r>
              <w:rPr>
                <w:b/>
              </w:rPr>
              <w:tab/>
              <w:t xml:space="preserve">Total Indirects: </w:t>
            </w:r>
            <w:r w:rsidRPr="00B663C3">
              <w:t xml:space="preserve">$ </w:t>
            </w:r>
          </w:p>
          <w:p w:rsidR="00211ED6" w:rsidRDefault="00211ED6" w:rsidP="006A47D8">
            <w:pPr>
              <w:spacing w:after="0" w:line="216" w:lineRule="auto"/>
              <w:ind w:left="100" w:right="0" w:firstLine="0"/>
              <w:rPr>
                <w:b/>
              </w:rPr>
            </w:pPr>
          </w:p>
          <w:p w:rsidR="00211ED6" w:rsidRPr="001C0C52" w:rsidRDefault="00211ED6" w:rsidP="00211ED6">
            <w:pPr>
              <w:spacing w:after="0" w:line="216" w:lineRule="auto"/>
              <w:ind w:right="0"/>
              <w:rPr>
                <w:i/>
                <w:color w:val="FF0000"/>
              </w:rPr>
            </w:pPr>
            <w:r>
              <w:rPr>
                <w:b/>
              </w:rPr>
              <w:t xml:space="preserve">                                                                                                                      Grand Total: </w:t>
            </w:r>
            <w:r>
              <w:rPr>
                <w:b/>
              </w:rPr>
              <w:tab/>
              <w:t xml:space="preserve">   </w:t>
            </w:r>
            <w:r w:rsidRPr="00B663C3">
              <w:t xml:space="preserve">$ </w:t>
            </w:r>
          </w:p>
        </w:tc>
      </w:tr>
    </w:tbl>
    <w:p w:rsidR="00D170A5" w:rsidRDefault="00E00875" w:rsidP="000D1971">
      <w:pPr>
        <w:spacing w:after="0" w:line="259" w:lineRule="auto"/>
        <w:ind w:left="1" w:right="0" w:firstLine="0"/>
        <w:jc w:val="both"/>
      </w:pPr>
      <w:r>
        <w:rPr>
          <w:b/>
        </w:rPr>
        <w:t xml:space="preserve"> </w:t>
      </w:r>
      <w:r>
        <w:rPr>
          <w:rFonts w:ascii="Calibri" w:eastAsia="Calibri" w:hAnsi="Calibri" w:cs="Calibri"/>
          <w:sz w:val="10"/>
        </w:rPr>
        <w:t xml:space="preserve"> </w:t>
      </w:r>
      <w:r>
        <w:rPr>
          <w:rFonts w:ascii="Calibri" w:eastAsia="Calibri" w:hAnsi="Calibri" w:cs="Calibri"/>
          <w:sz w:val="28"/>
          <w:vertAlign w:val="subscript"/>
        </w:rPr>
        <w:tab/>
      </w:r>
      <w:r>
        <w:rPr>
          <w:sz w:val="20"/>
        </w:rPr>
        <w:t xml:space="preserve"> </w:t>
      </w:r>
    </w:p>
    <w:sectPr w:rsidR="00D170A5" w:rsidSect="00AC590B">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F2C" w:rsidRDefault="00CF1F2C" w:rsidP="00725BBF">
      <w:pPr>
        <w:spacing w:after="0" w:line="240" w:lineRule="auto"/>
      </w:pPr>
      <w:r>
        <w:separator/>
      </w:r>
    </w:p>
  </w:endnote>
  <w:endnote w:type="continuationSeparator" w:id="0">
    <w:p w:rsidR="00CF1F2C" w:rsidRDefault="00CF1F2C" w:rsidP="0072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F2C" w:rsidRDefault="00CF1F2C" w:rsidP="00725BBF">
      <w:pPr>
        <w:spacing w:after="0" w:line="240" w:lineRule="auto"/>
      </w:pPr>
      <w:r>
        <w:separator/>
      </w:r>
    </w:p>
  </w:footnote>
  <w:footnote w:type="continuationSeparator" w:id="0">
    <w:p w:rsidR="00CF1F2C" w:rsidRDefault="00CF1F2C" w:rsidP="00725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849"/>
    <w:multiLevelType w:val="hybridMultilevel"/>
    <w:tmpl w:val="05A046DC"/>
    <w:lvl w:ilvl="0" w:tplc="EAF2D57A">
      <w:start w:val="1"/>
      <w:numFmt w:val="decimal"/>
      <w:lvlText w:val="%1."/>
      <w:lvlJc w:val="left"/>
      <w:pPr>
        <w:ind w:left="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0E8F0">
      <w:start w:val="2"/>
      <w:numFmt w:val="lowerLetter"/>
      <w:lvlText w:val="%2."/>
      <w:lvlJc w:val="left"/>
      <w:pPr>
        <w:ind w:left="7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5E04062">
      <w:start w:val="1"/>
      <w:numFmt w:val="lowerRoman"/>
      <w:lvlText w:val="%3."/>
      <w:lvlJc w:val="left"/>
      <w:pPr>
        <w:ind w:left="12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CBE6A7C">
      <w:start w:val="1"/>
      <w:numFmt w:val="decimal"/>
      <w:lvlText w:val="%4"/>
      <w:lvlJc w:val="left"/>
      <w:pPr>
        <w:ind w:left="18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F0677AA">
      <w:start w:val="1"/>
      <w:numFmt w:val="lowerLetter"/>
      <w:lvlText w:val="%5"/>
      <w:lvlJc w:val="left"/>
      <w:pPr>
        <w:ind w:left="252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4C817D0">
      <w:start w:val="1"/>
      <w:numFmt w:val="lowerRoman"/>
      <w:lvlText w:val="%6"/>
      <w:lvlJc w:val="left"/>
      <w:pPr>
        <w:ind w:left="32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03283D4">
      <w:start w:val="1"/>
      <w:numFmt w:val="decimal"/>
      <w:lvlText w:val="%7"/>
      <w:lvlJc w:val="left"/>
      <w:pPr>
        <w:ind w:left="39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40898D4">
      <w:start w:val="1"/>
      <w:numFmt w:val="lowerLetter"/>
      <w:lvlText w:val="%8"/>
      <w:lvlJc w:val="left"/>
      <w:pPr>
        <w:ind w:left="46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51026FA">
      <w:start w:val="1"/>
      <w:numFmt w:val="lowerRoman"/>
      <w:lvlText w:val="%9"/>
      <w:lvlJc w:val="left"/>
      <w:pPr>
        <w:ind w:left="54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FC5FB8"/>
    <w:multiLevelType w:val="hybridMultilevel"/>
    <w:tmpl w:val="FD9A9E0C"/>
    <w:lvl w:ilvl="0" w:tplc="EC72963A">
      <w:start w:val="1"/>
      <w:numFmt w:val="bullet"/>
      <w:lvlText w:val="•"/>
      <w:lvlJc w:val="left"/>
      <w:pPr>
        <w:ind w:left="78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05A23E00"/>
    <w:multiLevelType w:val="hybridMultilevel"/>
    <w:tmpl w:val="812E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C3CF4"/>
    <w:multiLevelType w:val="hybridMultilevel"/>
    <w:tmpl w:val="3FAE5C98"/>
    <w:lvl w:ilvl="0" w:tplc="B5CA9224">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0ED3C">
      <w:start w:val="1"/>
      <w:numFmt w:val="lowerLetter"/>
      <w:lvlText w:val="%2"/>
      <w:lvlJc w:val="left"/>
      <w:pPr>
        <w:ind w:left="1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A04C02">
      <w:start w:val="1"/>
      <w:numFmt w:val="lowerRoman"/>
      <w:lvlText w:val="%3"/>
      <w:lvlJc w:val="left"/>
      <w:pPr>
        <w:ind w:left="2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2442B8">
      <w:start w:val="1"/>
      <w:numFmt w:val="decimal"/>
      <w:lvlText w:val="%4"/>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4019A">
      <w:start w:val="1"/>
      <w:numFmt w:val="lowerLetter"/>
      <w:lvlText w:val="%5"/>
      <w:lvlJc w:val="left"/>
      <w:pPr>
        <w:ind w:left="3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0AC946">
      <w:start w:val="1"/>
      <w:numFmt w:val="lowerRoman"/>
      <w:lvlText w:val="%6"/>
      <w:lvlJc w:val="left"/>
      <w:pPr>
        <w:ind w:left="4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2B7D2">
      <w:start w:val="1"/>
      <w:numFmt w:val="decimal"/>
      <w:lvlText w:val="%7"/>
      <w:lvlJc w:val="left"/>
      <w:pPr>
        <w:ind w:left="4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ED36E">
      <w:start w:val="1"/>
      <w:numFmt w:val="lowerLetter"/>
      <w:lvlText w:val="%8"/>
      <w:lvlJc w:val="left"/>
      <w:pPr>
        <w:ind w:left="5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208B42">
      <w:start w:val="1"/>
      <w:numFmt w:val="lowerRoman"/>
      <w:lvlText w:val="%9"/>
      <w:lvlJc w:val="left"/>
      <w:pPr>
        <w:ind w:left="6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6A2C8A"/>
    <w:multiLevelType w:val="hybridMultilevel"/>
    <w:tmpl w:val="E5DE04D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18C50226"/>
    <w:multiLevelType w:val="hybridMultilevel"/>
    <w:tmpl w:val="106663E2"/>
    <w:lvl w:ilvl="0" w:tplc="33CC99EC">
      <w:start w:val="1"/>
      <w:numFmt w:val="decimal"/>
      <w:lvlText w:val="%1."/>
      <w:lvlJc w:val="left"/>
      <w:pPr>
        <w:ind w:left="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4CD5B2">
      <w:start w:val="1"/>
      <w:numFmt w:val="lowerLetter"/>
      <w:lvlText w:val="%2"/>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500940">
      <w:start w:val="1"/>
      <w:numFmt w:val="lowerRoman"/>
      <w:lvlText w:val="%3"/>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A8A1DA">
      <w:start w:val="1"/>
      <w:numFmt w:val="decimal"/>
      <w:lvlText w:val="%4"/>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621A8">
      <w:start w:val="1"/>
      <w:numFmt w:val="lowerLetter"/>
      <w:lvlText w:val="%5"/>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A24262">
      <w:start w:val="1"/>
      <w:numFmt w:val="lowerRoman"/>
      <w:lvlText w:val="%6"/>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00F5CC">
      <w:start w:val="1"/>
      <w:numFmt w:val="decimal"/>
      <w:lvlText w:val="%7"/>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65FD2">
      <w:start w:val="1"/>
      <w:numFmt w:val="lowerLetter"/>
      <w:lvlText w:val="%8"/>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80A7EE">
      <w:start w:val="1"/>
      <w:numFmt w:val="lowerRoman"/>
      <w:lvlText w:val="%9"/>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044331"/>
    <w:multiLevelType w:val="hybridMultilevel"/>
    <w:tmpl w:val="DEE45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877B8"/>
    <w:multiLevelType w:val="hybridMultilevel"/>
    <w:tmpl w:val="40FEE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1575"/>
    <w:multiLevelType w:val="hybridMultilevel"/>
    <w:tmpl w:val="BBCE6B9E"/>
    <w:lvl w:ilvl="0" w:tplc="EC72963A">
      <w:start w:val="1"/>
      <w:numFmt w:val="bullet"/>
      <w:lvlText w:val="•"/>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D0207A">
      <w:start w:val="1"/>
      <w:numFmt w:val="bullet"/>
      <w:lvlText w:val="o"/>
      <w:lvlJc w:val="left"/>
      <w:pPr>
        <w:ind w:left="1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EE30A">
      <w:start w:val="1"/>
      <w:numFmt w:val="bullet"/>
      <w:lvlText w:val="▪"/>
      <w:lvlJc w:val="left"/>
      <w:pPr>
        <w:ind w:left="2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9C7838">
      <w:start w:val="1"/>
      <w:numFmt w:val="bullet"/>
      <w:lvlText w:val="•"/>
      <w:lvlJc w:val="left"/>
      <w:pPr>
        <w:ind w:left="2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B84410">
      <w:start w:val="1"/>
      <w:numFmt w:val="bullet"/>
      <w:lvlText w:val="o"/>
      <w:lvlJc w:val="left"/>
      <w:pPr>
        <w:ind w:left="3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6FE60">
      <w:start w:val="1"/>
      <w:numFmt w:val="bullet"/>
      <w:lvlText w:val="▪"/>
      <w:lvlJc w:val="left"/>
      <w:pPr>
        <w:ind w:left="4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9A9B78">
      <w:start w:val="1"/>
      <w:numFmt w:val="bullet"/>
      <w:lvlText w:val="•"/>
      <w:lvlJc w:val="left"/>
      <w:pPr>
        <w:ind w:left="4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56A246">
      <w:start w:val="1"/>
      <w:numFmt w:val="bullet"/>
      <w:lvlText w:val="o"/>
      <w:lvlJc w:val="left"/>
      <w:pPr>
        <w:ind w:left="5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B09676">
      <w:start w:val="1"/>
      <w:numFmt w:val="bullet"/>
      <w:lvlText w:val="▪"/>
      <w:lvlJc w:val="left"/>
      <w:pPr>
        <w:ind w:left="6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920666"/>
    <w:multiLevelType w:val="hybridMultilevel"/>
    <w:tmpl w:val="2C947358"/>
    <w:lvl w:ilvl="0" w:tplc="840AEC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07E6A">
      <w:start w:val="1"/>
      <w:numFmt w:val="lowerLetter"/>
      <w:lvlText w:val="%2."/>
      <w:lvlJc w:val="left"/>
      <w:pPr>
        <w:ind w:left="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00F924">
      <w:start w:val="1"/>
      <w:numFmt w:val="lowerRoman"/>
      <w:lvlText w:val="%3"/>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2E7C1E">
      <w:start w:val="1"/>
      <w:numFmt w:val="decimal"/>
      <w:lvlText w:val="%4"/>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BC5144">
      <w:start w:val="1"/>
      <w:numFmt w:val="lowerLetter"/>
      <w:lvlText w:val="%5"/>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7E33BE">
      <w:start w:val="1"/>
      <w:numFmt w:val="lowerRoman"/>
      <w:lvlText w:val="%6"/>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F23E4A">
      <w:start w:val="1"/>
      <w:numFmt w:val="decimal"/>
      <w:lvlText w:val="%7"/>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6C0A20">
      <w:start w:val="1"/>
      <w:numFmt w:val="lowerLetter"/>
      <w:lvlText w:val="%8"/>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DA57FC">
      <w:start w:val="1"/>
      <w:numFmt w:val="lowerRoman"/>
      <w:lvlText w:val="%9"/>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851F45"/>
    <w:multiLevelType w:val="hybridMultilevel"/>
    <w:tmpl w:val="AEFEB1D6"/>
    <w:lvl w:ilvl="0" w:tplc="EF02C6DE">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EC948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0E93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87EF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683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3AA46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F66C8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A2D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0E78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F24FBB"/>
    <w:multiLevelType w:val="hybridMultilevel"/>
    <w:tmpl w:val="EF38E796"/>
    <w:lvl w:ilvl="0" w:tplc="24C058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843098">
      <w:start w:val="1"/>
      <w:numFmt w:val="lowerLetter"/>
      <w:lvlText w:val="%2."/>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AA5DD2">
      <w:start w:val="1"/>
      <w:numFmt w:val="lowerRoman"/>
      <w:lvlText w:val="%3"/>
      <w:lvlJc w:val="left"/>
      <w:pPr>
        <w:ind w:left="1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AE1CB0">
      <w:start w:val="1"/>
      <w:numFmt w:val="decimal"/>
      <w:lvlText w:val="%4"/>
      <w:lvlJc w:val="left"/>
      <w:pPr>
        <w:ind w:left="2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FA242C">
      <w:start w:val="1"/>
      <w:numFmt w:val="lowerLetter"/>
      <w:lvlText w:val="%5"/>
      <w:lvlJc w:val="left"/>
      <w:pPr>
        <w:ind w:left="2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22D18E">
      <w:start w:val="1"/>
      <w:numFmt w:val="lowerRoman"/>
      <w:lvlText w:val="%6"/>
      <w:lvlJc w:val="left"/>
      <w:pPr>
        <w:ind w:left="3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AA2BE6">
      <w:start w:val="1"/>
      <w:numFmt w:val="decimal"/>
      <w:lvlText w:val="%7"/>
      <w:lvlJc w:val="left"/>
      <w:pPr>
        <w:ind w:left="4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8C3F6">
      <w:start w:val="1"/>
      <w:numFmt w:val="lowerLetter"/>
      <w:lvlText w:val="%8"/>
      <w:lvlJc w:val="left"/>
      <w:pPr>
        <w:ind w:left="5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DA57EA">
      <w:start w:val="1"/>
      <w:numFmt w:val="lowerRoman"/>
      <w:lvlText w:val="%9"/>
      <w:lvlJc w:val="left"/>
      <w:pPr>
        <w:ind w:left="5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8664E9"/>
    <w:multiLevelType w:val="hybridMultilevel"/>
    <w:tmpl w:val="3B06C0AC"/>
    <w:lvl w:ilvl="0" w:tplc="3BB4F8B8">
      <w:start w:val="1"/>
      <w:numFmt w:val="decimal"/>
      <w:lvlText w:val="%1."/>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B8FC94">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16C94C">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4E07EC">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0C67A2">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7E96DA">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008CC">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B6EB48">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98525C">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4563F7"/>
    <w:multiLevelType w:val="hybridMultilevel"/>
    <w:tmpl w:val="797AB1C8"/>
    <w:lvl w:ilvl="0" w:tplc="F72AA166">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3E972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C6DF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FAE7A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C36F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0CC87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48C3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67B5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AD73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0"/>
  </w:num>
  <w:num w:numId="3">
    <w:abstractNumId w:val="12"/>
  </w:num>
  <w:num w:numId="4">
    <w:abstractNumId w:val="13"/>
  </w:num>
  <w:num w:numId="5">
    <w:abstractNumId w:val="5"/>
  </w:num>
  <w:num w:numId="6">
    <w:abstractNumId w:val="0"/>
  </w:num>
  <w:num w:numId="7">
    <w:abstractNumId w:val="9"/>
  </w:num>
  <w:num w:numId="8">
    <w:abstractNumId w:val="11"/>
  </w:num>
  <w:num w:numId="9">
    <w:abstractNumId w:val="3"/>
  </w:num>
  <w:num w:numId="10">
    <w:abstractNumId w:val="4"/>
  </w:num>
  <w:num w:numId="11">
    <w:abstractNumId w:val="1"/>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A5"/>
    <w:rsid w:val="00006D40"/>
    <w:rsid w:val="000127E0"/>
    <w:rsid w:val="000818F0"/>
    <w:rsid w:val="000D1971"/>
    <w:rsid w:val="000F0E30"/>
    <w:rsid w:val="00140610"/>
    <w:rsid w:val="0014104E"/>
    <w:rsid w:val="0014747C"/>
    <w:rsid w:val="001519E4"/>
    <w:rsid w:val="00165C57"/>
    <w:rsid w:val="0019546E"/>
    <w:rsid w:val="00196191"/>
    <w:rsid w:val="001A5178"/>
    <w:rsid w:val="001B6580"/>
    <w:rsid w:val="001C0C52"/>
    <w:rsid w:val="00211ED6"/>
    <w:rsid w:val="00225D6E"/>
    <w:rsid w:val="00240F02"/>
    <w:rsid w:val="002B1ECF"/>
    <w:rsid w:val="002F447A"/>
    <w:rsid w:val="00306117"/>
    <w:rsid w:val="003448DD"/>
    <w:rsid w:val="003611EA"/>
    <w:rsid w:val="003B47D4"/>
    <w:rsid w:val="00544E15"/>
    <w:rsid w:val="005651F0"/>
    <w:rsid w:val="005730A0"/>
    <w:rsid w:val="00582293"/>
    <w:rsid w:val="005E47EF"/>
    <w:rsid w:val="0063344D"/>
    <w:rsid w:val="006A47D8"/>
    <w:rsid w:val="006E019A"/>
    <w:rsid w:val="006F0273"/>
    <w:rsid w:val="00725BBF"/>
    <w:rsid w:val="0085073F"/>
    <w:rsid w:val="008508AF"/>
    <w:rsid w:val="00851902"/>
    <w:rsid w:val="00874793"/>
    <w:rsid w:val="008C437E"/>
    <w:rsid w:val="0093571D"/>
    <w:rsid w:val="00951EDC"/>
    <w:rsid w:val="009F57F7"/>
    <w:rsid w:val="00A114AD"/>
    <w:rsid w:val="00A31E42"/>
    <w:rsid w:val="00A654B8"/>
    <w:rsid w:val="00AC590B"/>
    <w:rsid w:val="00B13AFB"/>
    <w:rsid w:val="00B1747E"/>
    <w:rsid w:val="00B23805"/>
    <w:rsid w:val="00B56C14"/>
    <w:rsid w:val="00B663C3"/>
    <w:rsid w:val="00B96CFD"/>
    <w:rsid w:val="00BA0AE1"/>
    <w:rsid w:val="00C201BD"/>
    <w:rsid w:val="00C30B2F"/>
    <w:rsid w:val="00C76111"/>
    <w:rsid w:val="00CD299D"/>
    <w:rsid w:val="00CF1F2C"/>
    <w:rsid w:val="00CF6C0E"/>
    <w:rsid w:val="00D11E7D"/>
    <w:rsid w:val="00D12197"/>
    <w:rsid w:val="00D170A5"/>
    <w:rsid w:val="00D30D4F"/>
    <w:rsid w:val="00D540B0"/>
    <w:rsid w:val="00DB2186"/>
    <w:rsid w:val="00DD0D3A"/>
    <w:rsid w:val="00DD377E"/>
    <w:rsid w:val="00E00875"/>
    <w:rsid w:val="00E743A3"/>
    <w:rsid w:val="00EB7050"/>
    <w:rsid w:val="00F8621B"/>
    <w:rsid w:val="00FA03B1"/>
    <w:rsid w:val="00FA78DA"/>
    <w:rsid w:val="00FB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2F6E7-8629-4F8D-9367-A520E9E5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1" w:right="3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64"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96CFD"/>
    <w:pPr>
      <w:ind w:left="720"/>
      <w:contextualSpacing/>
    </w:pPr>
  </w:style>
  <w:style w:type="paragraph" w:styleId="BalloonText">
    <w:name w:val="Balloon Text"/>
    <w:basedOn w:val="Normal"/>
    <w:link w:val="BalloonTextChar"/>
    <w:uiPriority w:val="99"/>
    <w:semiHidden/>
    <w:unhideWhenUsed/>
    <w:rsid w:val="00FA0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3B1"/>
    <w:rPr>
      <w:rFonts w:ascii="Segoe UI" w:eastAsia="Arial" w:hAnsi="Segoe UI" w:cs="Segoe UI"/>
      <w:color w:val="000000"/>
      <w:sz w:val="18"/>
      <w:szCs w:val="18"/>
    </w:rPr>
  </w:style>
  <w:style w:type="character" w:styleId="Hyperlink">
    <w:name w:val="Hyperlink"/>
    <w:basedOn w:val="DefaultParagraphFont"/>
    <w:uiPriority w:val="99"/>
    <w:unhideWhenUsed/>
    <w:rsid w:val="00E743A3"/>
    <w:rPr>
      <w:color w:val="0563C1" w:themeColor="hyperlink"/>
      <w:u w:val="single"/>
    </w:rPr>
  </w:style>
  <w:style w:type="character" w:styleId="FollowedHyperlink">
    <w:name w:val="FollowedHyperlink"/>
    <w:basedOn w:val="DefaultParagraphFont"/>
    <w:uiPriority w:val="99"/>
    <w:semiHidden/>
    <w:unhideWhenUsed/>
    <w:rsid w:val="000818F0"/>
    <w:rPr>
      <w:color w:val="954F72" w:themeColor="followedHyperlink"/>
      <w:u w:val="single"/>
    </w:rPr>
  </w:style>
  <w:style w:type="paragraph" w:styleId="Header">
    <w:name w:val="header"/>
    <w:basedOn w:val="Normal"/>
    <w:link w:val="HeaderChar"/>
    <w:uiPriority w:val="99"/>
    <w:unhideWhenUsed/>
    <w:rsid w:val="00725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BBF"/>
    <w:rPr>
      <w:rFonts w:ascii="Arial" w:eastAsia="Arial" w:hAnsi="Arial" w:cs="Arial"/>
      <w:color w:val="000000"/>
    </w:rPr>
  </w:style>
  <w:style w:type="paragraph" w:styleId="Footer">
    <w:name w:val="footer"/>
    <w:basedOn w:val="Normal"/>
    <w:link w:val="FooterChar"/>
    <w:uiPriority w:val="99"/>
    <w:unhideWhenUsed/>
    <w:rsid w:val="00725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BB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13786">
      <w:bodyDiv w:val="1"/>
      <w:marLeft w:val="0"/>
      <w:marRight w:val="0"/>
      <w:marTop w:val="0"/>
      <w:marBottom w:val="0"/>
      <w:divBdr>
        <w:top w:val="none" w:sz="0" w:space="0" w:color="auto"/>
        <w:left w:val="none" w:sz="0" w:space="0" w:color="auto"/>
        <w:bottom w:val="none" w:sz="0" w:space="0" w:color="auto"/>
        <w:right w:val="none" w:sz="0" w:space="0" w:color="auto"/>
      </w:divBdr>
      <w:divsChild>
        <w:div w:id="1020930633">
          <w:marLeft w:val="0"/>
          <w:marRight w:val="0"/>
          <w:marTop w:val="0"/>
          <w:marBottom w:val="0"/>
          <w:divBdr>
            <w:top w:val="none" w:sz="0" w:space="0" w:color="auto"/>
            <w:left w:val="none" w:sz="0" w:space="0" w:color="auto"/>
            <w:bottom w:val="none" w:sz="0" w:space="0" w:color="auto"/>
            <w:right w:val="none" w:sz="0" w:space="0" w:color="auto"/>
          </w:divBdr>
        </w:div>
        <w:div w:id="1365473167">
          <w:marLeft w:val="0"/>
          <w:marRight w:val="0"/>
          <w:marTop w:val="0"/>
          <w:marBottom w:val="0"/>
          <w:divBdr>
            <w:top w:val="none" w:sz="0" w:space="0" w:color="auto"/>
            <w:left w:val="none" w:sz="0" w:space="0" w:color="auto"/>
            <w:bottom w:val="none" w:sz="0" w:space="0" w:color="auto"/>
            <w:right w:val="none" w:sz="0" w:space="0" w:color="auto"/>
          </w:divBdr>
        </w:div>
        <w:div w:id="16499442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ctr.unmc.edu/" TargetMode="External"/><Relationship Id="rId13" Type="http://schemas.openxmlformats.org/officeDocument/2006/relationships/hyperlink" Target="mailto:mark.mccourt@ndsu.edu" TargetMode="External"/><Relationship Id="rId18" Type="http://schemas.openxmlformats.org/officeDocument/2006/relationships/hyperlink" Target="mailto:jonathan.geiger@med.und.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nmcredcap.unmc.edu/redcap/surveys/?s=3DLW8W4TN9" TargetMode="External"/><Relationship Id="rId7" Type="http://schemas.openxmlformats.org/officeDocument/2006/relationships/image" Target="media/image1.jpg"/><Relationship Id="rId12" Type="http://schemas.openxmlformats.org/officeDocument/2006/relationships/hyperlink" Target="mailto:lori.leibold@boystown.org" TargetMode="External"/><Relationship Id="rId17" Type="http://schemas.openxmlformats.org/officeDocument/2006/relationships/hyperlink" Target="mailto:samyers@unomaha.edu"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paul.estabrooks@unmc.edu" TargetMode="External"/><Relationship Id="rId20" Type="http://schemas.openxmlformats.org/officeDocument/2006/relationships/hyperlink" Target="https://www.unmc.edu/publichealth/centers/ccorda/reques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n.navarrette@unmc.edu" TargetMode="External"/><Relationship Id="rId24" Type="http://schemas.openxmlformats.org/officeDocument/2006/relationships/hyperlink" Target="mailto:gpctr@unmc.edu" TargetMode="External"/><Relationship Id="rId5" Type="http://schemas.openxmlformats.org/officeDocument/2006/relationships/footnotes" Target="footnotes.xml"/><Relationship Id="rId15" Type="http://schemas.openxmlformats.org/officeDocument/2006/relationships/hyperlink" Target="mailto:dhansen1@unl.edu" TargetMode="External"/><Relationship Id="rId23" Type="http://schemas.openxmlformats.org/officeDocument/2006/relationships/hyperlink" Target="mailto:sean.navarrette@unmc.edu" TargetMode="External"/><Relationship Id="rId10" Type="http://schemas.openxmlformats.org/officeDocument/2006/relationships/hyperlink" Target="mailto:paul.estabrooks@unmc.edu" TargetMode="External"/><Relationship Id="rId19" Type="http://schemas.openxmlformats.org/officeDocument/2006/relationships/hyperlink" Target="mailto:robin.miskimins@usd.edu" TargetMode="External"/><Relationship Id="rId4" Type="http://schemas.openxmlformats.org/officeDocument/2006/relationships/webSettings" Target="webSettings.xml"/><Relationship Id="rId9" Type="http://schemas.openxmlformats.org/officeDocument/2006/relationships/hyperlink" Target="https://gpctr.unmc.edu/" TargetMode="External"/><Relationship Id="rId14" Type="http://schemas.openxmlformats.org/officeDocument/2006/relationships/hyperlink" Target="mailto:carlsonka1@unk.edu" TargetMode="External"/><Relationship Id="rId22" Type="http://schemas.openxmlformats.org/officeDocument/2006/relationships/hyperlink" Target="mailto:sean.navarrette@unmc.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10145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UNMC CoPH</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Karla J</dc:creator>
  <cp:keywords/>
  <cp:lastModifiedBy>Jessica Heinzmann</cp:lastModifiedBy>
  <cp:revision>2</cp:revision>
  <cp:lastPrinted>2017-12-15T16:13:00Z</cp:lastPrinted>
  <dcterms:created xsi:type="dcterms:W3CDTF">2018-01-02T19:47:00Z</dcterms:created>
  <dcterms:modified xsi:type="dcterms:W3CDTF">2018-01-02T19:47:00Z</dcterms:modified>
</cp:coreProperties>
</file>